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Still Becoming Sunday Return Brief</w:t>
      </w:r>
    </w:p>
    <w:p>
      <w:pPr/>
      <w:r>
        <w:t>Prepared for John returning online Sunday.</w:t>
      </w:r>
    </w:p>
    <w:p>
      <w:pPr>
        <w:pStyle w:val="Heading2"/>
      </w:pPr>
      <w:r>
        <w:t>Current Position</w:t>
      </w:r>
    </w:p>
    <w:p>
      <w:pPr/>
      <w:r>
        <w:t>The launch is still moving inside the 3-week window. The public website, email capture spine, lead magnet, publishing vendor packet, cover order, editor outreach, project controls, and first native iOS tool prototype are all advanced. The remaining items that need John are approval gates, account/vendor responses, or final public-release decisions.</w:t>
      </w:r>
    </w:p>
    <w:p>
      <w:pPr>
        <w:pStyle w:val="Heading2"/>
      </w:pPr>
      <w:r>
        <w:t>Completed Or Advanced While John Was Offline</w:t>
      </w:r>
    </w:p>
    <w:p>
      <w:pPr>
        <w:pStyle w:val="ListBullet"/>
      </w:pPr>
      <w:r>
        <w:t>Website: public site remains live at https://stillbecomingtools.com.</w:t>
      </w:r>
    </w:p>
    <w:p>
      <w:pPr>
        <w:pStyle w:val="ListBullet"/>
      </w:pPr>
      <w:r>
        <w:t>Website legal: Privacy, Terms, and Disclaimer pages are implemented, desktop/mobile smoke-tested, and preview deployed at https://out-pwy9939qo-jlaalowe-8429s-projects.vercel.app. Production promotion is waiting on John approval.</w:t>
      </w:r>
    </w:p>
    <w:p>
      <w:pPr>
        <w:pStyle w:val="ListBullet"/>
      </w:pPr>
      <w:r>
        <w:t>Email/Kit: Starter Kit, Daily Motivation, and Weekly Newsletter forms are connected through the server-side Kit route. The Starter Kit PDF/ZIP download links are live.</w:t>
      </w:r>
    </w:p>
    <w:p>
      <w:pPr>
        <w:pStyle w:val="ListBullet"/>
      </w:pPr>
      <w:r>
        <w:t>Publishing: GetCovers order was submitted. Editor quote request was submitted. Citation/credits audit packet is built for legal/editor review.</w:t>
      </w:r>
    </w:p>
    <w:p>
      <w:pPr>
        <w:pStyle w:val="ListBullet"/>
      </w:pPr>
      <w:r>
        <w:t>Vendor decisions: cover draft and editor quote scorecards prepared to make the next spend decisions faster and more objective.</w:t>
      </w:r>
    </w:p>
    <w:p>
      <w:pPr>
        <w:pStyle w:val="ListBullet"/>
      </w:pPr>
      <w:r>
        <w:t>Mobile app: Expo iOS prototype now has live tool selection, 1-5 scoring, result bands, recommended actions, editable action plan fields, reset, and iOS share sheet.</w:t>
      </w:r>
    </w:p>
    <w:p>
      <w:pPr>
        <w:pStyle w:val="ListBullet"/>
      </w:pPr>
      <w:r>
        <w:t>Analytics: vendor-neutral conversion event layer added to the website, with a documented event taxonomy for later Google Tag Manager, Plausible, Vercel Analytics, or custom listener setup.</w:t>
      </w:r>
    </w:p>
    <w:p>
      <w:pPr>
        <w:pStyle w:val="ListBullet"/>
      </w:pPr>
      <w:r>
        <w:t>iOS publishing: App Store/TestFlight metadata packet prepared with draft app name, subtitle, description, keywords, screenshot storyboard, beta notes, privacy/support URL gates, and Apple-source notes.</w:t>
      </w:r>
    </w:p>
    <w:p>
      <w:pPr>
        <w:pStyle w:val="ListBullet"/>
      </w:pPr>
      <w:r>
        <w:t>Project controls: printable project plan and UAT packet were regenerated, rendered, visually checked, and copied to Project Control Files.</w:t>
      </w:r>
    </w:p>
    <w:p>
      <w:pPr>
        <w:pStyle w:val="Heading2"/>
      </w:pPr>
      <w:r>
        <w:t>Decisions Needed From John</w:t>
      </w:r>
    </w:p>
    <w:tbl>
      <w:tblPr>
        <w:tblStyle w:val="TableGrid"/>
        <w:tblW w:type="auto" w:w="0"/>
        <w:jc w:val="left"/>
        <w:tblLayout w:type="autofit"/>
        <w:tblLook w:firstColumn="1" w:firstRow="1" w:lastColumn="0" w:lastRow="0" w:noHBand="0" w:noVBand="1" w:val="04A0"/>
      </w:tblPr>
      <w:tblGrid>
        <w:gridCol w:w="2340"/>
        <w:gridCol w:w="2340"/>
        <w:gridCol w:w="2340"/>
        <w:gridCol w:w="2340"/>
      </w:tblGrid>
      <w:tr>
        <w:tc>
          <w:tcPr>
            <w:tcW w:type="dxa" w:w="2340"/>
            <w:vAlign w:val="center"/>
            <w:tcMar>
              <w:top w:w="90" w:type="dxa"/>
              <w:start w:w="120" w:type="dxa"/>
              <w:bottom w:w="90" w:type="dxa"/>
              <w:end w:w="120" w:type="dxa"/>
            </w:tcMar>
            <w:shd w:fill="E8EEF5"/>
          </w:tcPr>
          <w:p>
            <w:pPr>
              <w:spacing w:after="0"/>
            </w:pPr>
            <w:r>
              <w:rPr>
                <w:rFonts w:ascii="Calibri" w:hAnsi="Calibri"/>
                <w:b/>
                <w:color w:val="0B2545"/>
                <w:sz w:val="18"/>
              </w:rPr>
              <w:t>Gate</w:t>
            </w:r>
          </w:p>
        </w:tc>
        <w:tc>
          <w:tcPr>
            <w:tcW w:type="dxa" w:w="2340"/>
            <w:vAlign w:val="center"/>
            <w:tcMar>
              <w:top w:w="90" w:type="dxa"/>
              <w:start w:w="120" w:type="dxa"/>
              <w:bottom w:w="90" w:type="dxa"/>
              <w:end w:w="120" w:type="dxa"/>
            </w:tcMar>
            <w:shd w:fill="E8EEF5"/>
          </w:tcPr>
          <w:p>
            <w:pPr>
              <w:spacing w:after="0"/>
            </w:pPr>
            <w:r>
              <w:rPr>
                <w:rFonts w:ascii="Calibri" w:hAnsi="Calibri"/>
                <w:b/>
                <w:color w:val="0B2545"/>
                <w:sz w:val="18"/>
              </w:rPr>
              <w:t>Decision</w:t>
            </w:r>
          </w:p>
        </w:tc>
        <w:tc>
          <w:tcPr>
            <w:tcW w:type="dxa" w:w="2340"/>
            <w:vAlign w:val="center"/>
            <w:tcMar>
              <w:top w:w="90" w:type="dxa"/>
              <w:start w:w="120" w:type="dxa"/>
              <w:bottom w:w="90" w:type="dxa"/>
              <w:end w:w="120" w:type="dxa"/>
            </w:tcMar>
            <w:shd w:fill="E8EEF5"/>
          </w:tcPr>
          <w:p>
            <w:pPr>
              <w:spacing w:after="0"/>
            </w:pPr>
            <w:r>
              <w:rPr>
                <w:rFonts w:ascii="Calibri" w:hAnsi="Calibri"/>
                <w:b/>
                <w:color w:val="0B2545"/>
                <w:sz w:val="18"/>
              </w:rPr>
              <w:t>Why It Matters</w:t>
            </w:r>
          </w:p>
        </w:tc>
        <w:tc>
          <w:tcPr>
            <w:tcW w:type="dxa" w:w="2340"/>
            <w:vAlign w:val="center"/>
            <w:tcMar>
              <w:top w:w="90" w:type="dxa"/>
              <w:start w:w="120" w:type="dxa"/>
              <w:bottom w:w="90" w:type="dxa"/>
              <w:end w:w="120" w:type="dxa"/>
            </w:tcMar>
            <w:shd w:fill="E8EEF5"/>
          </w:tcPr>
          <w:p>
            <w:pPr>
              <w:spacing w:after="0"/>
            </w:pPr>
            <w:r>
              <w:rPr>
                <w:rFonts w:ascii="Calibri" w:hAnsi="Calibri"/>
                <w:b/>
                <w:color w:val="0B2545"/>
                <w:sz w:val="18"/>
              </w:rPr>
              <w:t>Estimated Time</w:t>
            </w:r>
          </w:p>
        </w:tc>
      </w:tr>
      <w:tr>
        <w:tc>
          <w:tcPr>
            <w:tcW w:type="dxa" w:w="2340"/>
            <w:vAlign w:val="center"/>
            <w:tcMar>
              <w:top w:w="80" w:type="dxa"/>
              <w:start w:w="120" w:type="dxa"/>
              <w:bottom w:w="80" w:type="dxa"/>
              <w:end w:w="120" w:type="dxa"/>
            </w:tcMar>
          </w:tcPr>
          <w:p>
            <w:pPr>
              <w:spacing w:after="0"/>
            </w:pPr>
            <w:r>
              <w:rPr>
                <w:sz w:val="17"/>
              </w:rPr>
              <w:t>Legal pages</w:t>
            </w:r>
          </w:p>
        </w:tc>
        <w:tc>
          <w:tcPr>
            <w:tcW w:type="dxa" w:w="2340"/>
            <w:vAlign w:val="center"/>
            <w:tcMar>
              <w:top w:w="80" w:type="dxa"/>
              <w:start w:w="120" w:type="dxa"/>
              <w:bottom w:w="80" w:type="dxa"/>
              <w:end w:w="120" w:type="dxa"/>
            </w:tcMar>
          </w:tcPr>
          <w:p>
            <w:pPr>
              <w:spacing w:after="0"/>
            </w:pPr>
            <w:r>
              <w:rPr>
                <w:sz w:val="17"/>
              </w:rPr>
              <w:t>Approve preview for production promotion</w:t>
            </w:r>
          </w:p>
        </w:tc>
        <w:tc>
          <w:tcPr>
            <w:tcW w:type="dxa" w:w="2340"/>
            <w:vAlign w:val="center"/>
            <w:tcMar>
              <w:top w:w="80" w:type="dxa"/>
              <w:start w:w="120" w:type="dxa"/>
              <w:bottom w:w="80" w:type="dxa"/>
              <w:end w:w="120" w:type="dxa"/>
            </w:tcMar>
          </w:tcPr>
          <w:p>
            <w:pPr>
              <w:spacing w:after="0"/>
            </w:pPr>
            <w:r>
              <w:rPr>
                <w:sz w:val="17"/>
              </w:rPr>
              <w:t>Footer legal links should be live before broader traffic</w:t>
            </w:r>
          </w:p>
        </w:tc>
        <w:tc>
          <w:tcPr>
            <w:tcW w:type="dxa" w:w="2340"/>
            <w:vAlign w:val="center"/>
            <w:tcMar>
              <w:top w:w="80" w:type="dxa"/>
              <w:start w:w="120" w:type="dxa"/>
              <w:bottom w:w="80" w:type="dxa"/>
              <w:end w:w="120" w:type="dxa"/>
            </w:tcMar>
          </w:tcPr>
          <w:p>
            <w:pPr>
              <w:spacing w:after="0"/>
            </w:pPr>
            <w:r>
              <w:rPr>
                <w:sz w:val="17"/>
              </w:rPr>
              <w:t>10 min</w:t>
            </w:r>
          </w:p>
        </w:tc>
      </w:tr>
      <w:tr>
        <w:tc>
          <w:tcPr>
            <w:tcW w:type="dxa" w:w="2340"/>
            <w:vAlign w:val="center"/>
            <w:tcMar>
              <w:top w:w="80" w:type="dxa"/>
              <w:start w:w="120" w:type="dxa"/>
              <w:bottom w:w="80" w:type="dxa"/>
              <w:end w:w="120" w:type="dxa"/>
            </w:tcMar>
          </w:tcPr>
          <w:p>
            <w:pPr>
              <w:spacing w:after="0"/>
            </w:pPr>
            <w:r>
              <w:rPr>
                <w:sz w:val="17"/>
              </w:rPr>
              <w:t>Inquiry routing</w:t>
            </w:r>
          </w:p>
        </w:tc>
        <w:tc>
          <w:tcPr>
            <w:tcW w:type="dxa" w:w="2340"/>
            <w:vAlign w:val="center"/>
            <w:tcMar>
              <w:top w:w="80" w:type="dxa"/>
              <w:start w:w="120" w:type="dxa"/>
              <w:bottom w:w="80" w:type="dxa"/>
              <w:end w:w="120" w:type="dxa"/>
            </w:tcMar>
          </w:tcPr>
          <w:p>
            <w:pPr>
              <w:spacing w:after="0"/>
            </w:pPr>
            <w:r>
              <w:rPr>
                <w:sz w:val="17"/>
              </w:rPr>
              <w:t>Choose Tally/Fillout, Resend/Vercel email, or mailto fallback</w:t>
            </w:r>
          </w:p>
        </w:tc>
        <w:tc>
          <w:tcPr>
            <w:tcW w:type="dxa" w:w="2340"/>
            <w:vAlign w:val="center"/>
            <w:tcMar>
              <w:top w:w="80" w:type="dxa"/>
              <w:start w:w="120" w:type="dxa"/>
              <w:bottom w:w="80" w:type="dxa"/>
              <w:end w:w="120" w:type="dxa"/>
            </w:tcMar>
          </w:tcPr>
          <w:p>
            <w:pPr>
              <w:spacing w:after="0"/>
            </w:pPr>
            <w:r>
              <w:rPr>
                <w:sz w:val="17"/>
              </w:rPr>
              <w:t>Consulting/speaking form is intentionally preview-only until route is approved</w:t>
            </w:r>
          </w:p>
        </w:tc>
        <w:tc>
          <w:tcPr>
            <w:tcW w:type="dxa" w:w="2340"/>
            <w:vAlign w:val="center"/>
            <w:tcMar>
              <w:top w:w="80" w:type="dxa"/>
              <w:start w:w="120" w:type="dxa"/>
              <w:bottom w:w="80" w:type="dxa"/>
              <w:end w:w="120" w:type="dxa"/>
            </w:tcMar>
          </w:tcPr>
          <w:p>
            <w:pPr>
              <w:spacing w:after="0"/>
            </w:pPr>
            <w:r>
              <w:rPr>
                <w:sz w:val="17"/>
              </w:rPr>
              <w:t>15 min</w:t>
            </w:r>
          </w:p>
        </w:tc>
      </w:tr>
      <w:tr>
        <w:tc>
          <w:tcPr>
            <w:tcW w:type="dxa" w:w="2340"/>
            <w:vAlign w:val="center"/>
            <w:tcMar>
              <w:top w:w="80" w:type="dxa"/>
              <w:start w:w="120" w:type="dxa"/>
              <w:bottom w:w="80" w:type="dxa"/>
              <w:end w:w="120" w:type="dxa"/>
            </w:tcMar>
          </w:tcPr>
          <w:p>
            <w:pPr>
              <w:spacing w:after="0"/>
            </w:pPr>
            <w:r>
              <w:rPr>
                <w:sz w:val="17"/>
              </w:rPr>
              <w:t>Kit sender QA</w:t>
            </w:r>
          </w:p>
        </w:tc>
        <w:tc>
          <w:tcPr>
            <w:tcW w:type="dxa" w:w="2340"/>
            <w:vAlign w:val="center"/>
            <w:tcMar>
              <w:top w:w="80" w:type="dxa"/>
              <w:start w:w="120" w:type="dxa"/>
              <w:bottom w:w="80" w:type="dxa"/>
              <w:end w:w="120" w:type="dxa"/>
            </w:tcMar>
          </w:tcPr>
          <w:p>
            <w:pPr>
              <w:spacing w:after="0"/>
            </w:pPr>
            <w:r>
              <w:rPr>
                <w:sz w:val="17"/>
              </w:rPr>
              <w:t>Confirm sender name/email and first live delivery</w:t>
            </w:r>
          </w:p>
        </w:tc>
        <w:tc>
          <w:tcPr>
            <w:tcW w:type="dxa" w:w="2340"/>
            <w:vAlign w:val="center"/>
            <w:tcMar>
              <w:top w:w="80" w:type="dxa"/>
              <w:start w:w="120" w:type="dxa"/>
              <w:bottom w:w="80" w:type="dxa"/>
              <w:end w:w="120" w:type="dxa"/>
            </w:tcMar>
          </w:tcPr>
          <w:p>
            <w:pPr>
              <w:spacing w:after="0"/>
            </w:pPr>
            <w:r>
              <w:rPr>
                <w:sz w:val="17"/>
              </w:rPr>
              <w:t>Ensures lead magnet and follow-up emails land correctly</w:t>
            </w:r>
          </w:p>
        </w:tc>
        <w:tc>
          <w:tcPr>
            <w:tcW w:type="dxa" w:w="2340"/>
            <w:vAlign w:val="center"/>
            <w:tcMar>
              <w:top w:w="80" w:type="dxa"/>
              <w:start w:w="120" w:type="dxa"/>
              <w:bottom w:w="80" w:type="dxa"/>
              <w:end w:w="120" w:type="dxa"/>
            </w:tcMar>
          </w:tcPr>
          <w:p>
            <w:pPr>
              <w:spacing w:after="0"/>
            </w:pPr>
            <w:r>
              <w:rPr>
                <w:sz w:val="17"/>
              </w:rPr>
              <w:t>20 min</w:t>
            </w:r>
          </w:p>
        </w:tc>
      </w:tr>
      <w:tr>
        <w:tc>
          <w:tcPr>
            <w:tcW w:type="dxa" w:w="2340"/>
            <w:vAlign w:val="center"/>
            <w:tcMar>
              <w:top w:w="80" w:type="dxa"/>
              <w:start w:w="120" w:type="dxa"/>
              <w:bottom w:w="80" w:type="dxa"/>
              <w:end w:w="120" w:type="dxa"/>
            </w:tcMar>
          </w:tcPr>
          <w:p>
            <w:pPr>
              <w:spacing w:after="0"/>
            </w:pPr>
            <w:r>
              <w:rPr>
                <w:sz w:val="17"/>
              </w:rPr>
              <w:t>Cover draft</w:t>
            </w:r>
          </w:p>
        </w:tc>
        <w:tc>
          <w:tcPr>
            <w:tcW w:type="dxa" w:w="2340"/>
            <w:vAlign w:val="center"/>
            <w:tcMar>
              <w:top w:w="80" w:type="dxa"/>
              <w:start w:w="120" w:type="dxa"/>
              <w:bottom w:w="80" w:type="dxa"/>
              <w:end w:w="120" w:type="dxa"/>
            </w:tcMar>
          </w:tcPr>
          <w:p>
            <w:pPr>
              <w:spacing w:after="0"/>
            </w:pPr>
            <w:r>
              <w:rPr>
                <w:sz w:val="17"/>
              </w:rPr>
              <w:t>Review GetCovers first draft when delivered</w:t>
            </w:r>
          </w:p>
        </w:tc>
        <w:tc>
          <w:tcPr>
            <w:tcW w:type="dxa" w:w="2340"/>
            <w:vAlign w:val="center"/>
            <w:tcMar>
              <w:top w:w="80" w:type="dxa"/>
              <w:start w:w="120" w:type="dxa"/>
              <w:bottom w:w="80" w:type="dxa"/>
              <w:end w:w="120" w:type="dxa"/>
            </w:tcMar>
          </w:tcPr>
          <w:p>
            <w:pPr>
              <w:spacing w:after="0"/>
            </w:pPr>
            <w:r>
              <w:rPr>
                <w:sz w:val="17"/>
              </w:rPr>
              <w:t>Cover drives Amazon click-through and credibility</w:t>
            </w:r>
          </w:p>
        </w:tc>
        <w:tc>
          <w:tcPr>
            <w:tcW w:type="dxa" w:w="2340"/>
            <w:vAlign w:val="center"/>
            <w:tcMar>
              <w:top w:w="80" w:type="dxa"/>
              <w:start w:w="120" w:type="dxa"/>
              <w:bottom w:w="80" w:type="dxa"/>
              <w:end w:w="120" w:type="dxa"/>
            </w:tcMar>
          </w:tcPr>
          <w:p>
            <w:pPr>
              <w:spacing w:after="0"/>
            </w:pPr>
            <w:r>
              <w:rPr>
                <w:sz w:val="17"/>
              </w:rPr>
              <w:t>20 min</w:t>
            </w:r>
          </w:p>
        </w:tc>
      </w:tr>
      <w:tr>
        <w:tc>
          <w:tcPr>
            <w:tcW w:type="dxa" w:w="2340"/>
            <w:vAlign w:val="center"/>
            <w:tcMar>
              <w:top w:w="80" w:type="dxa"/>
              <w:start w:w="120" w:type="dxa"/>
              <w:bottom w:w="80" w:type="dxa"/>
              <w:end w:w="120" w:type="dxa"/>
            </w:tcMar>
          </w:tcPr>
          <w:p>
            <w:pPr>
              <w:spacing w:after="0"/>
            </w:pPr>
            <w:r>
              <w:rPr>
                <w:sz w:val="17"/>
              </w:rPr>
              <w:t>Editor quote</w:t>
            </w:r>
          </w:p>
        </w:tc>
        <w:tc>
          <w:tcPr>
            <w:tcW w:type="dxa" w:w="2340"/>
            <w:vAlign w:val="center"/>
            <w:tcMar>
              <w:top w:w="80" w:type="dxa"/>
              <w:start w:w="120" w:type="dxa"/>
              <w:bottom w:w="80" w:type="dxa"/>
              <w:end w:w="120" w:type="dxa"/>
            </w:tcMar>
          </w:tcPr>
          <w:p>
            <w:pPr>
              <w:spacing w:after="0"/>
            </w:pPr>
            <w:r>
              <w:rPr>
                <w:sz w:val="17"/>
              </w:rPr>
              <w:t>Pick editor/proofreader path from responses</w:t>
            </w:r>
          </w:p>
        </w:tc>
        <w:tc>
          <w:tcPr>
            <w:tcW w:type="dxa" w:w="2340"/>
            <w:vAlign w:val="center"/>
            <w:tcMar>
              <w:top w:w="80" w:type="dxa"/>
              <w:start w:w="120" w:type="dxa"/>
              <w:bottom w:w="80" w:type="dxa"/>
              <w:end w:w="120" w:type="dxa"/>
            </w:tcMar>
          </w:tcPr>
          <w:p>
            <w:pPr>
              <w:spacing w:after="0"/>
            </w:pPr>
            <w:r>
              <w:rPr>
                <w:sz w:val="17"/>
              </w:rPr>
              <w:t>Final manuscript quality is the top budget priority</w:t>
            </w:r>
          </w:p>
        </w:tc>
        <w:tc>
          <w:tcPr>
            <w:tcW w:type="dxa" w:w="2340"/>
            <w:vAlign w:val="center"/>
            <w:tcMar>
              <w:top w:w="80" w:type="dxa"/>
              <w:start w:w="120" w:type="dxa"/>
              <w:bottom w:w="80" w:type="dxa"/>
              <w:end w:w="120" w:type="dxa"/>
            </w:tcMar>
          </w:tcPr>
          <w:p>
            <w:pPr>
              <w:spacing w:after="0"/>
            </w:pPr>
            <w:r>
              <w:rPr>
                <w:sz w:val="17"/>
              </w:rPr>
              <w:t>20 min</w:t>
            </w:r>
          </w:p>
        </w:tc>
      </w:tr>
      <w:tr>
        <w:tc>
          <w:tcPr>
            <w:tcW w:type="dxa" w:w="2340"/>
            <w:vAlign w:val="center"/>
            <w:tcMar>
              <w:top w:w="80" w:type="dxa"/>
              <w:start w:w="120" w:type="dxa"/>
              <w:bottom w:w="80" w:type="dxa"/>
              <w:end w:w="120" w:type="dxa"/>
            </w:tcMar>
          </w:tcPr>
          <w:p>
            <w:pPr>
              <w:spacing w:after="0"/>
            </w:pPr>
            <w:r>
              <w:rPr>
                <w:sz w:val="17"/>
              </w:rPr>
              <w:t>iOS scope</w:t>
            </w:r>
          </w:p>
        </w:tc>
        <w:tc>
          <w:tcPr>
            <w:tcW w:type="dxa" w:w="2340"/>
            <w:vAlign w:val="center"/>
            <w:tcMar>
              <w:top w:w="80" w:type="dxa"/>
              <w:start w:w="120" w:type="dxa"/>
              <w:bottom w:w="80" w:type="dxa"/>
              <w:end w:w="120" w:type="dxa"/>
            </w:tcMar>
          </w:tcPr>
          <w:p>
            <w:pPr>
              <w:spacing w:after="0"/>
            </w:pPr>
            <w:r>
              <w:rPr>
                <w:sz w:val="17"/>
              </w:rPr>
              <w:t>Confirm whether to add device persistence/PDF export now or defer</w:t>
            </w:r>
          </w:p>
        </w:tc>
        <w:tc>
          <w:tcPr>
            <w:tcW w:type="dxa" w:w="2340"/>
            <w:vAlign w:val="center"/>
            <w:tcMar>
              <w:top w:w="80" w:type="dxa"/>
              <w:start w:w="120" w:type="dxa"/>
              <w:bottom w:w="80" w:type="dxa"/>
              <w:end w:w="120" w:type="dxa"/>
            </w:tcMar>
          </w:tcPr>
          <w:p>
            <w:pPr>
              <w:spacing w:after="0"/>
            </w:pPr>
            <w:r>
              <w:rPr>
                <w:sz w:val="17"/>
              </w:rPr>
              <w:t>Adds dependency/scope; current prototype uses no new packages</w:t>
            </w:r>
          </w:p>
        </w:tc>
        <w:tc>
          <w:tcPr>
            <w:tcW w:type="dxa" w:w="2340"/>
            <w:vAlign w:val="center"/>
            <w:tcMar>
              <w:top w:w="80" w:type="dxa"/>
              <w:start w:w="120" w:type="dxa"/>
              <w:bottom w:w="80" w:type="dxa"/>
              <w:end w:w="120" w:type="dxa"/>
            </w:tcMar>
          </w:tcPr>
          <w:p>
            <w:pPr>
              <w:spacing w:after="0"/>
            </w:pPr>
            <w:r>
              <w:rPr>
                <w:sz w:val="17"/>
              </w:rPr>
              <w:t>10 min</w:t>
            </w:r>
          </w:p>
        </w:tc>
      </w:tr>
    </w:tbl>
    <w:p/>
    <w:p>
      <w:pPr>
        <w:pStyle w:val="Heading2"/>
      </w:pPr>
      <w:r>
        <w:t>Recommended Sunday Agenda</w:t>
      </w:r>
    </w:p>
    <w:p>
      <w:pPr>
        <w:pStyle w:val="ListNumber"/>
      </w:pPr>
      <w:r>
        <w:t>Review legal-pages preview and approve or mark changes.</w:t>
      </w:r>
    </w:p>
    <w:p>
      <w:pPr>
        <w:pStyle w:val="ListNumber"/>
      </w:pPr>
      <w:r>
        <w:t>Choose inquiry routing path.</w:t>
      </w:r>
    </w:p>
    <w:p>
      <w:pPr>
        <w:pStyle w:val="ListNumber"/>
      </w:pPr>
      <w:r>
        <w:t>Run one Kit live delivery test.</w:t>
      </w:r>
    </w:p>
    <w:p>
      <w:pPr>
        <w:pStyle w:val="ListNumber"/>
      </w:pPr>
      <w:r>
        <w:t>Review any returned GetCovers/editor responses.</w:t>
      </w:r>
    </w:p>
    <w:p>
      <w:pPr>
        <w:pStyle w:val="ListNumber"/>
      </w:pPr>
      <w:r>
        <w:t>Confirm next iOS scope: keep MVP lightweight or add saved plans/PDF export.</w:t>
      </w:r>
    </w:p>
    <w:p>
      <w:pPr>
        <w:pStyle w:val="Heading2"/>
      </w:pPr>
      <w:r>
        <w:t>Files To Open</w:t>
      </w:r>
    </w:p>
    <w:p>
      <w:pPr>
        <w:pStyle w:val="ListBullet"/>
      </w:pPr>
      <w:r>
        <w:t xml:space="preserve">Project plan: </w:t>
      </w:r>
      <w:r>
        <w:rPr>
          <w:rFonts w:ascii="Courier New" w:hAnsi="Courier New"/>
          <w:b w:val="0"/>
          <w:i w:val="0"/>
          <w:sz w:val="20"/>
        </w:rPr>
        <w:t>/Users/johnlowe/Documents/Book publishing/Project Control Files/Still_Becoming_Project_Plan.docx</w:t>
      </w:r>
    </w:p>
    <w:p>
      <w:pPr>
        <w:pStyle w:val="ListBullet"/>
      </w:pPr>
      <w:r>
        <w:t xml:space="preserve">UAT scripts: </w:t>
      </w:r>
      <w:r>
        <w:rPr>
          <w:rFonts w:ascii="Courier New" w:hAnsi="Courier New"/>
          <w:b w:val="0"/>
          <w:i w:val="0"/>
          <w:sz w:val="20"/>
        </w:rPr>
        <w:t>/Users/johnlowe/Documents/Book publishing/Project Control Files/Still_Becoming_UAT_Script_Packet.docx</w:t>
      </w:r>
    </w:p>
    <w:p>
      <w:pPr>
        <w:pStyle w:val="ListBullet"/>
      </w:pPr>
      <w:r>
        <w:t xml:space="preserve">Analytics taxonomy: </w:t>
      </w:r>
      <w:r>
        <w:rPr>
          <w:rFonts w:ascii="Courier New" w:hAnsi="Courier New"/>
          <w:b w:val="0"/>
          <w:i w:val="0"/>
          <w:sz w:val="20"/>
        </w:rPr>
        <w:t>/Users/johnlowe/Documents/Book publishing/execution/Still_Becoming_Analytics_Event_Taxonomy.docx</w:t>
      </w:r>
    </w:p>
    <w:p>
      <w:pPr>
        <w:pStyle w:val="ListBullet"/>
      </w:pPr>
      <w:r>
        <w:t xml:space="preserve">iOS App Store packet: </w:t>
      </w:r>
      <w:r>
        <w:rPr>
          <w:rFonts w:ascii="Courier New" w:hAnsi="Courier New"/>
          <w:b w:val="0"/>
          <w:i w:val="0"/>
          <w:sz w:val="20"/>
        </w:rPr>
        <w:t>/Users/johnlowe/Documents/Book publishing/execution/Still_Becoming_iOS_App_Store_Packet.docx</w:t>
      </w:r>
    </w:p>
    <w:p>
      <w:pPr>
        <w:pStyle w:val="ListBullet"/>
      </w:pPr>
      <w:r>
        <w:t xml:space="preserve">Vendor decision scorecards: </w:t>
      </w:r>
      <w:r>
        <w:rPr>
          <w:rFonts w:ascii="Courier New" w:hAnsi="Courier New"/>
          <w:b w:val="0"/>
          <w:i w:val="0"/>
          <w:sz w:val="20"/>
        </w:rPr>
        <w:t>/Users/johnlowe/Documents/Book publishing/execution/Still_Becoming_Vendor_Decision_Scorecards.docx</w:t>
      </w:r>
    </w:p>
    <w:p>
      <w:pPr>
        <w:pStyle w:val="ListBullet"/>
      </w:pPr>
      <w:r>
        <w:t xml:space="preserve">Citation audit: </w:t>
      </w:r>
      <w:r>
        <w:rPr>
          <w:rFonts w:ascii="Courier New" w:hAnsi="Courier New"/>
          <w:b w:val="0"/>
          <w:i w:val="0"/>
          <w:sz w:val="20"/>
        </w:rPr>
        <w:t>/Users/johnlowe/Documents/Book publishing/Publishing Review Packet/Still_Becoming_Citation_Credits_Audit_Working_List.docx</w:t>
      </w:r>
    </w:p>
    <w:p>
      <w:pPr>
        <w:pStyle w:val="ListBullet"/>
      </w:pPr>
      <w:r>
        <w:t xml:space="preserve">Kit checklist: </w:t>
      </w:r>
      <w:r>
        <w:rPr>
          <w:rFonts w:ascii="Courier New" w:hAnsi="Courier New"/>
          <w:b w:val="0"/>
          <w:i w:val="0"/>
          <w:sz w:val="20"/>
        </w:rPr>
        <w:t>/Users/johnlowe/Documents/Book publishing/Email Funnel Packet/Still_Becoming_Kit_Setup_Checklist.docx</w:t>
      </w:r>
    </w:p>
    <w:p>
      <w:pPr>
        <w:pStyle w:val="ListBullet"/>
      </w:pPr>
      <w:r>
        <w:t xml:space="preserve">Vendor packet: </w:t>
      </w:r>
      <w:r>
        <w:rPr>
          <w:rFonts w:ascii="Courier New" w:hAnsi="Courier New"/>
          <w:b w:val="0"/>
          <w:i w:val="0"/>
          <w:sz w:val="20"/>
        </w:rPr>
        <w:t>/Users/johnlowe/Documents/Book publishing/Vendor Outreach Packet/Still_Becoming_Vendor_Outreach_Packet.zip</w:t>
      </w:r>
    </w:p>
    <w:p>
      <w:pPr>
        <w:pStyle w:val="Heading2"/>
      </w:pPr>
      <w:r>
        <w:t>Next 24-Hour No-John Work</w:t>
      </w:r>
    </w:p>
    <w:p>
      <w:pPr>
        <w:pStyle w:val="ListBullet"/>
      </w:pPr>
      <w:r>
        <w:t>Continue hardening iOS app code and UAT coverage.</w:t>
      </w:r>
    </w:p>
    <w:p>
      <w:pPr>
        <w:pStyle w:val="ListBullet"/>
      </w:pPr>
      <w:r>
        <w:t>Prepare the next no-provider launch assets and app QA notes without selecting paid vendors.</w:t>
      </w:r>
    </w:p>
    <w:p>
      <w:pPr>
        <w:pStyle w:val="ListBullet"/>
      </w:pPr>
      <w:r>
        <w:t>Update launch handoff packet with the refreshed project plan/UAT files.</w:t>
      </w:r>
    </w:p>
    <w:p>
      <w:pPr>
        <w:pStyle w:val="ListBullet"/>
      </w:pPr>
      <w:r>
        <w:t>Keep legal production promotion, inquiry routing, Kit sender, cover approval, and editor selection parked as John gates.</w:t>
      </w:r>
    </w:p>
    <w:sectPr w:rsidR="00FC693F" w:rsidRPr="0006063C" w:rsidSect="00034616">
      <w:headerReference w:type="default" r:id="rId9"/>
      <w:footerReference w:type="default" r:id="rId10"/>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right"/>
    </w:pPr>
    <w:r>
      <w:rPr>
        <w:color w:val="555555"/>
        <w:sz w:val="18"/>
      </w:rPr>
      <w:fldChar w:fldCharType="begin"/>
      <w:instrText xml:space="preserve">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color w:val="555555"/>
        <w:sz w:val="18"/>
      </w:rPr>
      <w:t>Still Becoming - Sunday Return Brief</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0" w:after="160" w:line="320" w:lineRule="auto"/>
    </w:pPr>
    <w:rPr>
      <w:rFonts w:ascii="Calibri" w:hAnsi="Calibri"/>
      <w:color w:val="000000"/>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60" w:after="200" w:line="290" w:lineRule="auto"/>
      <w:outlineLvl w:val="0"/>
    </w:pPr>
    <w:rPr>
      <w:rFonts w:asciiTheme="majorHAnsi" w:eastAsiaTheme="majorEastAsia" w:hAnsiTheme="majorHAnsi" w:cstheme="majorBidi" w:ascii="Calibri" w:hAnsi="Calibri"/>
      <w:b/>
      <w:bCs/>
      <w:color w:val="2E74B5"/>
      <w:sz w:val="32"/>
      <w:szCs w:val="28"/>
    </w:rPr>
  </w:style>
  <w:style w:type="paragraph" w:styleId="Heading2">
    <w:name w:val="heading 2"/>
    <w:basedOn w:val="Normal"/>
    <w:next w:val="Normal"/>
    <w:link w:val="Heading2Char"/>
    <w:uiPriority w:val="9"/>
    <w:unhideWhenUsed/>
    <w:qFormat/>
    <w:rsid w:val="00FC693F"/>
    <w:pPr>
      <w:keepNext/>
      <w:keepLines/>
      <w:spacing w:before="240" w:after="120" w:line="290" w:lineRule="auto"/>
      <w:outlineLvl w:val="1"/>
    </w:pPr>
    <w:rPr>
      <w:rFonts w:asciiTheme="majorHAnsi" w:eastAsiaTheme="majorEastAsia" w:hAnsiTheme="majorHAnsi" w:cstheme="majorBidi" w:ascii="Calibri" w:hAnsi="Calibri"/>
      <w:b/>
      <w:bCs/>
      <w:color w:val="2E74B5"/>
      <w:sz w:val="26"/>
      <w:szCs w:val="26"/>
    </w:rPr>
  </w:style>
  <w:style w:type="paragraph" w:styleId="Heading3">
    <w:name w:val="heading 3"/>
    <w:basedOn w:val="Normal"/>
    <w:next w:val="Normal"/>
    <w:link w:val="Heading3Char"/>
    <w:uiPriority w:val="9"/>
    <w:unhideWhenUsed/>
    <w:qFormat/>
    <w:rsid w:val="00FC693F"/>
    <w:pPr>
      <w:keepNext/>
      <w:keepLines/>
      <w:spacing w:before="160" w:after="80" w:line="290" w:lineRule="auto"/>
      <w:outlineLvl w:val="2"/>
    </w:pPr>
    <w:rPr>
      <w:rFonts w:asciiTheme="majorHAnsi" w:eastAsiaTheme="majorEastAsia" w:hAnsiTheme="majorHAnsi" w:cstheme="majorBidi" w:ascii="Calibri" w:hAnsi="Calibri"/>
      <w:b/>
      <w:bCs/>
      <w:color w:val="1F4D78"/>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120" w:line="240" w:lineRule="auto"/>
      <w:contextualSpacing/>
    </w:pPr>
    <w:rPr>
      <w:rFonts w:asciiTheme="majorHAnsi" w:eastAsiaTheme="majorEastAsia" w:hAnsiTheme="majorHAnsi" w:cstheme="majorBidi" w:ascii="Calibri" w:hAnsi="Calibri"/>
      <w:b/>
      <w:color w:val="0B2545"/>
      <w:spacing w:val="5"/>
      <w:kern w:val="28"/>
      <w:sz w:val="5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spacing w:after="360"/>
    </w:pPr>
    <w:rPr>
      <w:rFonts w:asciiTheme="majorHAnsi" w:eastAsiaTheme="majorEastAsia" w:hAnsiTheme="majorHAnsi" w:cstheme="majorBidi" w:ascii="Calibri" w:hAnsi="Calibri"/>
      <w:i/>
      <w:iCs/>
      <w:color w:val="1F4D78"/>
      <w:spacing w:val="15"/>
      <w:sz w:val="28"/>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spacing w:after="80" w:line="290" w:lineRule="auto"/>
      <w:ind w:left="540" w:hanging="279"/>
      <w:contextualSpacing/>
    </w:pPr>
    <w:rPr>
      <w:rFonts w:ascii="Calibri" w:hAnsi="Calibri"/>
      <w:sz w:val="22"/>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spacing w:after="80" w:line="290" w:lineRule="auto"/>
      <w:ind w:left="540" w:hanging="279"/>
      <w:contextualSpacing/>
    </w:pPr>
    <w:rPr>
      <w:rFonts w:ascii="Calibri" w:hAnsi="Calibri"/>
      <w:sz w:val="22"/>
    </w:r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