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rFonts w:ascii="Calibri" w:hAnsi="Calibri"/>
          <w:b/>
          <w:color w:val="102A43"/>
          <w:sz w:val="44"/>
        </w:rPr>
        <w:t>Still Becoming Launch Activation Runbook</w:t>
      </w:r>
    </w:p>
    <w:p>
      <w:pPr>
        <w:spacing w:after="100"/>
      </w:pPr>
      <w:r>
        <w:rPr>
          <w:rFonts w:ascii="Calibri" w:hAnsi="Calibri"/>
          <w:b w:val="0"/>
          <w:color w:val="5F6F7F"/>
          <w:sz w:val="19"/>
        </w:rPr>
        <w:t>Updated 2026-06-09 | Practical launch actions for Kindle, paperback, website, email, social, ads, and app gates.</w:t>
      </w:r>
    </w:p>
    <w:tbl>
      <w:tblGrid>
        <w:gridCol w:w="9936"/>
      </w:tblGrid>
      <w:tblPr>
        <w:tblStyle w:val="TableGrid"/>
        <w:tblW w:type="dxa" w:w="9936"/>
        <w:jc w:val="left"/>
        <w:tblLayout w:type="fixed"/>
        <w:tblLook w:firstColumn="1" w:firstRow="1" w:lastColumn="0" w:lastRow="0" w:noHBand="0" w:noVBand="1" w:val="04A0"/>
      </w:tblPr>
      <w:tr>
        <w:trPr>
          <w:cantSplit/>
        </w:trPr>
        <w:tc>
          <w:tcPr>
            <w:tcW w:type="dxa" w:w="9936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FF4E8"/>
          </w:tcPr>
          <w:p>
            <w:pPr>
              <w:spacing w:after="40"/>
            </w:pPr>
            <w:r>
              <w:rPr>
                <w:rFonts w:ascii="Calibri" w:hAnsi="Calibri"/>
                <w:b/>
                <w:color w:val="2E74B5"/>
                <w:sz w:val="16"/>
              </w:rPr>
              <w:t>OPERATING RULE</w:t>
            </w:r>
          </w:p>
          <w:p>
            <w:pPr>
              <w:spacing w:after="0"/>
            </w:pPr>
            <w:r>
              <w:rPr>
                <w:rFonts w:ascii="Calibri" w:hAnsi="Calibri"/>
                <w:color w:val="102A43"/>
                <w:sz w:val="19"/>
              </w:rPr>
              <w:t>Do not start paid book ads until the Amazon listing URL is live and the website book CTA has been updated. Until then, use organic posts and Starter Kit/list-building CTAs.</w:t>
            </w:r>
          </w:p>
        </w:tc>
      </w:tr>
    </w:tbl>
    <w:p>
      <w:pPr>
        <w:pStyle w:val="Heading1"/>
      </w:pPr>
      <w:r>
        <w:t>Current Status</w:t>
      </w:r>
    </w:p>
    <w:p>
      <w:pPr>
        <w:pStyle w:val="ListBullet"/>
        <w:spacing w:after="60"/>
        <w:ind w:left="504" w:hanging="230"/>
      </w:pPr>
      <w:r>
        <w:rPr>
          <w:rFonts w:ascii="Calibri" w:hAnsi="Calibri"/>
          <w:color w:val="102A43"/>
          <w:sz w:val="20"/>
        </w:rPr>
        <w:t>Kindle eBook submitted to KDP review on 2026-06-09; KDP says review can take up to 72 hours.</w:t>
      </w:r>
    </w:p>
    <w:p>
      <w:pPr>
        <w:pStyle w:val="ListBullet"/>
        <w:spacing w:after="60"/>
        <w:ind w:left="504" w:hanging="230"/>
      </w:pPr>
      <w:r>
        <w:rPr>
          <w:rFonts w:ascii="Calibri" w:hAnsi="Calibri"/>
          <w:color w:val="102A43"/>
          <w:sz w:val="20"/>
        </w:rPr>
        <w:t>Paperback interior PDF is upload-ready; paperback setup waits on GetCovers full-wrap cover, paperback ISBN entry, KDP print preview, and physical proof.</w:t>
      </w:r>
    </w:p>
    <w:p>
      <w:pPr>
        <w:pStyle w:val="ListBullet"/>
        <w:spacing w:after="60"/>
        <w:ind w:left="504" w:hanging="230"/>
      </w:pPr>
      <w:r>
        <w:rPr>
          <w:rFonts w:ascii="Calibri" w:hAnsi="Calibri"/>
          <w:color w:val="102A43"/>
          <w:sz w:val="20"/>
        </w:rPr>
        <w:t>Website is live with tools, Starter Kit, daily/weekly signup, consulting/speaking forms, Kit routing, Gmail notification, and Google Sheets lead repository.</w:t>
      </w:r>
    </w:p>
    <w:p>
      <w:pPr>
        <w:pStyle w:val="ListBullet"/>
        <w:spacing w:after="60"/>
        <w:ind w:left="504" w:hanging="230"/>
      </w:pPr>
      <w:r>
        <w:rPr>
          <w:rFonts w:ascii="Calibri" w:hAnsi="Calibri"/>
          <w:color w:val="102A43"/>
          <w:sz w:val="20"/>
        </w:rPr>
        <w:t>App Store package was uploaded/accepted for processing; TestFlight/device UAT remains the open gate before App Review submission.</w:t>
      </w:r>
    </w:p>
    <w:p>
      <w:pPr>
        <w:pStyle w:val="Heading1"/>
      </w:pPr>
      <w:r>
        <w:t>Activation Timeline</w:t>
      </w:r>
    </w:p>
    <w:tbl>
      <w:tblGrid>
        <w:gridCol w:w="1655"/>
        <w:gridCol w:w="5256"/>
        <w:gridCol w:w="1440"/>
        <w:gridCol w:w="1584"/>
      </w:tblGrid>
      <w:tblPr>
        <w:tblStyle w:val="TableGrid"/>
        <w:tblW w:type="dxa" w:w="9935"/>
        <w:jc w:val="left"/>
        <w:tblLayout w:type="fixed"/>
        <w:tblLook w:firstColumn="1" w:firstRow="1" w:lastColumn="0" w:lastRow="0" w:noHBand="0" w:noVBand="1" w:val="04A0"/>
      </w:tblPr>
      <w:tr>
        <w:trPr>
          <w:cantSplit/>
          <w:tblHeader w:val="true"/>
        </w:trPr>
        <w:tc>
          <w:tcPr>
            <w:tcW w:type="dxa" w:w="1655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8EEF5"/>
          </w:tcPr>
          <w:p>
            <w:pPr>
              <w:spacing w:after="0" w:line="269" w:lineRule="auto"/>
              <w:jc w:val="center"/>
            </w:pPr>
            <w:r/>
            <w:r>
              <w:rPr>
                <w:rFonts w:ascii="Calibri" w:hAnsi="Calibri"/>
                <w:b/>
                <w:color w:val="102A43"/>
                <w:sz w:val="16"/>
              </w:rPr>
              <w:t>Trigger</w:t>
            </w:r>
          </w:p>
        </w:tc>
        <w:tc>
          <w:tcPr>
            <w:tcW w:type="dxa" w:w="5256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8EEF5"/>
          </w:tcPr>
          <w:p>
            <w:pPr>
              <w:spacing w:after="0" w:line="269" w:lineRule="auto"/>
              <w:jc w:val="center"/>
            </w:pPr>
            <w:r/>
            <w:r>
              <w:rPr>
                <w:rFonts w:ascii="Calibri" w:hAnsi="Calibri"/>
                <w:b/>
                <w:color w:val="102A43"/>
                <w:sz w:val="16"/>
              </w:rPr>
              <w:t>Action</w:t>
            </w:r>
          </w:p>
        </w:tc>
        <w:tc>
          <w:tcPr>
            <w:tcW w:type="dxa" w:w="14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8EEF5"/>
          </w:tcPr>
          <w:p>
            <w:pPr>
              <w:spacing w:after="0" w:line="269" w:lineRule="auto"/>
              <w:jc w:val="center"/>
            </w:pPr>
            <w:r/>
            <w:r>
              <w:rPr>
                <w:rFonts w:ascii="Calibri" w:hAnsi="Calibri"/>
                <w:b/>
                <w:color w:val="102A43"/>
                <w:sz w:val="16"/>
              </w:rPr>
              <w:t>Owner</w:t>
            </w:r>
          </w:p>
        </w:tc>
        <w:tc>
          <w:tcPr>
            <w:tcW w:type="dxa" w:w="1584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8EEF5"/>
          </w:tcPr>
          <w:p>
            <w:pPr>
              <w:spacing w:after="0" w:line="269" w:lineRule="auto"/>
              <w:jc w:val="center"/>
            </w:pPr>
            <w:r/>
            <w:r>
              <w:rPr>
                <w:rFonts w:ascii="Calibri" w:hAnsi="Calibri"/>
                <w:b/>
                <w:color w:val="102A43"/>
                <w:sz w:val="16"/>
              </w:rPr>
              <w:t>Status</w:t>
            </w:r>
          </w:p>
        </w:tc>
      </w:tr>
      <w:tr>
        <w:tc>
          <w:tcPr>
            <w:tcW w:type="dxa" w:w="1655"/>
          </w:tcPr>
          <w:p>
            <w:pPr>
              <w:spacing w:after="0" w:line="269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Now</w:t>
            </w:r>
          </w:p>
        </w:tc>
        <w:tc>
          <w:tcPr>
            <w:tcW w:type="dxa" w:w="5256"/>
          </w:tcPr>
          <w:p>
            <w:pPr>
              <w:spacing w:after="0" w:line="269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Keep website, tools, Starter Kit, consulting/speaking, and newsletter paths live.</w:t>
            </w:r>
          </w:p>
        </w:tc>
        <w:tc>
          <w:tcPr>
            <w:tcW w:type="dxa" w:w="1440"/>
          </w:tcPr>
          <w:p>
            <w:pPr>
              <w:spacing w:after="0" w:line="269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Codex</w:t>
            </w:r>
          </w:p>
        </w:tc>
        <w:tc>
          <w:tcPr>
            <w:tcW w:type="dxa" w:w="1584"/>
          </w:tcPr>
          <w:p>
            <w:pPr>
              <w:spacing w:after="0" w:line="269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Ready</w:t>
            </w:r>
          </w:p>
        </w:tc>
      </w:tr>
      <w:tr>
        <w:tc>
          <w:tcPr>
            <w:tcW w:type="dxa" w:w="1655"/>
          </w:tcPr>
          <w:p>
            <w:pPr>
              <w:spacing w:after="0" w:line="269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Kindle listing live</w:t>
            </w:r>
          </w:p>
        </w:tc>
        <w:tc>
          <w:tcPr>
            <w:tcW w:type="dxa" w:w="5256"/>
          </w:tcPr>
          <w:p>
            <w:pPr>
              <w:spacing w:after="0" w:line="269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Capture Amazon URL, update website book CTA, update email/social copy placeholders.</w:t>
            </w:r>
          </w:p>
        </w:tc>
        <w:tc>
          <w:tcPr>
            <w:tcW w:type="dxa" w:w="1440"/>
          </w:tcPr>
          <w:p>
            <w:pPr>
              <w:spacing w:after="0" w:line="269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Codex</w:t>
            </w:r>
          </w:p>
        </w:tc>
        <w:tc>
          <w:tcPr>
            <w:tcW w:type="dxa" w:w="1584"/>
          </w:tcPr>
          <w:p>
            <w:pPr>
              <w:spacing w:after="0" w:line="269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Waiting on KDP</w:t>
            </w:r>
          </w:p>
        </w:tc>
      </w:tr>
      <w:tr>
        <w:tc>
          <w:tcPr>
            <w:tcW w:type="dxa" w:w="1655"/>
          </w:tcPr>
          <w:p>
            <w:pPr>
              <w:spacing w:after="0" w:line="269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Kindle listing live</w:t>
            </w:r>
          </w:p>
        </w:tc>
        <w:tc>
          <w:tcPr>
            <w:tcW w:type="dxa" w:w="5256"/>
          </w:tcPr>
          <w:p>
            <w:pPr>
              <w:spacing w:after="0" w:line="269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Send Launch Email 1 and publish Day 15 launch post.</w:t>
            </w:r>
          </w:p>
        </w:tc>
        <w:tc>
          <w:tcPr>
            <w:tcW w:type="dxa" w:w="1440"/>
          </w:tcPr>
          <w:p>
            <w:pPr>
              <w:spacing w:after="0" w:line="269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John/Codex</w:t>
            </w:r>
          </w:p>
        </w:tc>
        <w:tc>
          <w:tcPr>
            <w:tcW w:type="dxa" w:w="1584"/>
          </w:tcPr>
          <w:p>
            <w:pPr>
              <w:spacing w:after="0" w:line="269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Needs approval/send</w:t>
            </w:r>
          </w:p>
        </w:tc>
      </w:tr>
      <w:tr>
        <w:tc>
          <w:tcPr>
            <w:tcW w:type="dxa" w:w="1655"/>
          </w:tcPr>
          <w:p>
            <w:pPr>
              <w:spacing w:after="0" w:line="269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24-48 hours after Kindle live</w:t>
            </w:r>
          </w:p>
        </w:tc>
        <w:tc>
          <w:tcPr>
            <w:tcW w:type="dxa" w:w="5256"/>
          </w:tcPr>
          <w:p>
            <w:pPr>
              <w:spacing w:after="0" w:line="269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Post tool walkthrough and sample chapter CTA; start small lead-magnet ad test only if link paths are clean.</w:t>
            </w:r>
          </w:p>
        </w:tc>
        <w:tc>
          <w:tcPr>
            <w:tcW w:type="dxa" w:w="1440"/>
          </w:tcPr>
          <w:p>
            <w:pPr>
              <w:spacing w:after="0" w:line="269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John/Codex</w:t>
            </w:r>
          </w:p>
        </w:tc>
        <w:tc>
          <w:tcPr>
            <w:tcW w:type="dxa" w:w="1584"/>
          </w:tcPr>
          <w:p>
            <w:pPr>
              <w:spacing w:after="0" w:line="269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Staged</w:t>
            </w:r>
          </w:p>
        </w:tc>
      </w:tr>
      <w:tr>
        <w:tc>
          <w:tcPr>
            <w:tcW w:type="dxa" w:w="1655"/>
          </w:tcPr>
          <w:p>
            <w:pPr>
              <w:spacing w:after="0" w:line="269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GetCovers final wrap received</w:t>
            </w:r>
          </w:p>
        </w:tc>
        <w:tc>
          <w:tcPr>
            <w:tcW w:type="dxa" w:w="5256"/>
          </w:tcPr>
          <w:p>
            <w:pPr>
              <w:spacing w:after="0" w:line="269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Upload paperback interior/cover, enter ISBN/imprint, run KDP print preview.</w:t>
            </w:r>
          </w:p>
        </w:tc>
        <w:tc>
          <w:tcPr>
            <w:tcW w:type="dxa" w:w="1440"/>
          </w:tcPr>
          <w:p>
            <w:pPr>
              <w:spacing w:after="0" w:line="269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John/Codex</w:t>
            </w:r>
          </w:p>
        </w:tc>
        <w:tc>
          <w:tcPr>
            <w:tcW w:type="dxa" w:w="1584"/>
          </w:tcPr>
          <w:p>
            <w:pPr>
              <w:spacing w:after="0" w:line="269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Waiting on vendor</w:t>
            </w:r>
          </w:p>
        </w:tc>
      </w:tr>
      <w:tr>
        <w:tc>
          <w:tcPr>
            <w:tcW w:type="dxa" w:w="1655"/>
          </w:tcPr>
          <w:p>
            <w:pPr>
              <w:spacing w:after="0" w:line="269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Paperback preview passed</w:t>
            </w:r>
          </w:p>
        </w:tc>
        <w:tc>
          <w:tcPr>
            <w:tcW w:type="dxa" w:w="5256"/>
          </w:tcPr>
          <w:p>
            <w:pPr>
              <w:spacing w:after="0" w:line="269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Order physical proof.</w:t>
            </w:r>
          </w:p>
        </w:tc>
        <w:tc>
          <w:tcPr>
            <w:tcW w:type="dxa" w:w="1440"/>
          </w:tcPr>
          <w:p>
            <w:pPr>
              <w:spacing w:after="0" w:line="269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John/Codex</w:t>
            </w:r>
          </w:p>
        </w:tc>
        <w:tc>
          <w:tcPr>
            <w:tcW w:type="dxa" w:w="1584"/>
          </w:tcPr>
          <w:p>
            <w:pPr>
              <w:spacing w:after="0" w:line="269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Waiting on preview</w:t>
            </w:r>
          </w:p>
        </w:tc>
      </w:tr>
      <w:tr>
        <w:tc>
          <w:tcPr>
            <w:tcW w:type="dxa" w:w="1655"/>
          </w:tcPr>
          <w:p>
            <w:pPr>
              <w:spacing w:after="0" w:line="269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Proof approved</w:t>
            </w:r>
          </w:p>
        </w:tc>
        <w:tc>
          <w:tcPr>
            <w:tcW w:type="dxa" w:w="5256"/>
          </w:tcPr>
          <w:p>
            <w:pPr>
              <w:spacing w:after="0" w:line="269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Announce paperback availability and consider Amazon Ads.</w:t>
            </w:r>
          </w:p>
        </w:tc>
        <w:tc>
          <w:tcPr>
            <w:tcW w:type="dxa" w:w="1440"/>
          </w:tcPr>
          <w:p>
            <w:pPr>
              <w:spacing w:after="0" w:line="269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John/Codex</w:t>
            </w:r>
          </w:p>
        </w:tc>
        <w:tc>
          <w:tcPr>
            <w:tcW w:type="dxa" w:w="1584"/>
          </w:tcPr>
          <w:p>
            <w:pPr>
              <w:spacing w:after="0" w:line="269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Waiting on proof</w:t>
            </w:r>
          </w:p>
        </w:tc>
      </w:tr>
      <w:tr>
        <w:tc>
          <w:tcPr>
            <w:tcW w:type="dxa" w:w="1655"/>
          </w:tcPr>
          <w:p>
            <w:pPr>
              <w:spacing w:after="0" w:line="269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TestFlight available</w:t>
            </w:r>
          </w:p>
        </w:tc>
        <w:tc>
          <w:tcPr>
            <w:tcW w:type="dxa" w:w="5256"/>
          </w:tcPr>
          <w:p>
            <w:pPr>
              <w:spacing w:after="0" w:line="269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Run device UAT and submit App Review only after John approval.</w:t>
            </w:r>
          </w:p>
        </w:tc>
        <w:tc>
          <w:tcPr>
            <w:tcW w:type="dxa" w:w="1440"/>
          </w:tcPr>
          <w:p>
            <w:pPr>
              <w:spacing w:after="0" w:line="269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John/Codex</w:t>
            </w:r>
          </w:p>
        </w:tc>
        <w:tc>
          <w:tcPr>
            <w:tcW w:type="dxa" w:w="1584"/>
          </w:tcPr>
          <w:p>
            <w:pPr>
              <w:spacing w:after="0" w:line="269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Waiting on ASC</w:t>
            </w:r>
          </w:p>
        </w:tc>
      </w:tr>
    </w:tbl>
    <w:p>
      <w:pPr>
        <w:spacing w:after="40"/>
      </w:pPr>
    </w:p>
    <w:p>
      <w:pPr>
        <w:pStyle w:val="Heading1"/>
      </w:pPr>
      <w:r>
        <w:t>Email Sequence</w:t>
      </w:r>
    </w:p>
    <w:tbl>
      <w:tblGrid>
        <w:gridCol w:w="720"/>
        <w:gridCol w:w="1512"/>
        <w:gridCol w:w="3240"/>
        <w:gridCol w:w="2448"/>
        <w:gridCol w:w="2015"/>
      </w:tblGrid>
      <w:tblPr>
        <w:tblStyle w:val="TableGrid"/>
        <w:tblW w:type="dxa" w:w="9935"/>
        <w:jc w:val="left"/>
        <w:tblLayout w:type="fixed"/>
        <w:tblLook w:firstColumn="1" w:firstRow="1" w:lastColumn="0" w:lastRow="0" w:noHBand="0" w:noVBand="1" w:val="04A0"/>
      </w:tblPr>
      <w:tr>
        <w:trPr>
          <w:cantSplit/>
          <w:tblHeader w:val="true"/>
        </w:trPr>
        <w:tc>
          <w:tcPr>
            <w:tcW w:type="dxa" w:w="72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8EEF5"/>
          </w:tcPr>
          <w:p>
            <w:pPr>
              <w:spacing w:after="0" w:line="269" w:lineRule="auto"/>
              <w:jc w:val="center"/>
            </w:pPr>
            <w:r/>
            <w:r>
              <w:rPr>
                <w:rFonts w:ascii="Calibri" w:hAnsi="Calibri"/>
                <w:b/>
                <w:color w:val="102A43"/>
                <w:sz w:val="16"/>
              </w:rPr>
              <w:t>Email</w:t>
            </w:r>
          </w:p>
        </w:tc>
        <w:tc>
          <w:tcPr>
            <w:tcW w:type="dxa" w:w="1512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8EEF5"/>
          </w:tcPr>
          <w:p>
            <w:pPr>
              <w:spacing w:after="0" w:line="269" w:lineRule="auto"/>
              <w:jc w:val="center"/>
            </w:pPr>
            <w:r/>
            <w:r>
              <w:rPr>
                <w:rFonts w:ascii="Calibri" w:hAnsi="Calibri"/>
                <w:b/>
                <w:color w:val="102A43"/>
                <w:sz w:val="16"/>
              </w:rPr>
              <w:t>Timing</w:t>
            </w:r>
          </w:p>
        </w:tc>
        <w:tc>
          <w:tcPr>
            <w:tcW w:type="dxa" w:w="32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8EEF5"/>
          </w:tcPr>
          <w:p>
            <w:pPr>
              <w:spacing w:after="0" w:line="269" w:lineRule="auto"/>
              <w:jc w:val="center"/>
            </w:pPr>
            <w:r/>
            <w:r>
              <w:rPr>
                <w:rFonts w:ascii="Calibri" w:hAnsi="Calibri"/>
                <w:b/>
                <w:color w:val="102A43"/>
                <w:sz w:val="16"/>
              </w:rPr>
              <w:t>Subject</w:t>
            </w:r>
          </w:p>
        </w:tc>
        <w:tc>
          <w:tcPr>
            <w:tcW w:type="dxa" w:w="2448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8EEF5"/>
          </w:tcPr>
          <w:p>
            <w:pPr>
              <w:spacing w:after="0" w:line="269" w:lineRule="auto"/>
              <w:jc w:val="center"/>
            </w:pPr>
            <w:r/>
            <w:r>
              <w:rPr>
                <w:rFonts w:ascii="Calibri" w:hAnsi="Calibri"/>
                <w:b/>
                <w:color w:val="102A43"/>
                <w:sz w:val="16"/>
              </w:rPr>
              <w:t>CTA</w:t>
            </w:r>
          </w:p>
        </w:tc>
        <w:tc>
          <w:tcPr>
            <w:tcW w:type="dxa" w:w="2015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8EEF5"/>
          </w:tcPr>
          <w:p>
            <w:pPr>
              <w:spacing w:after="0" w:line="269" w:lineRule="auto"/>
              <w:jc w:val="center"/>
            </w:pPr>
            <w:r/>
            <w:r>
              <w:rPr>
                <w:rFonts w:ascii="Calibri" w:hAnsi="Calibri"/>
                <w:b/>
                <w:color w:val="102A43"/>
                <w:sz w:val="16"/>
              </w:rPr>
              <w:t>Gate</w:t>
            </w:r>
          </w:p>
        </w:tc>
      </w:tr>
      <w:tr>
        <w:tc>
          <w:tcPr>
            <w:tcW w:type="dxa" w:w="720"/>
          </w:tcPr>
          <w:p>
            <w:pPr>
              <w:spacing w:after="0" w:line="269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1</w:t>
            </w:r>
          </w:p>
        </w:tc>
        <w:tc>
          <w:tcPr>
            <w:tcW w:type="dxa" w:w="1512"/>
          </w:tcPr>
          <w:p>
            <w:pPr>
              <w:spacing w:after="0" w:line="269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Kindle live day</w:t>
            </w:r>
          </w:p>
        </w:tc>
        <w:tc>
          <w:tcPr>
            <w:tcW w:type="dxa" w:w="3240"/>
          </w:tcPr>
          <w:p>
            <w:pPr>
              <w:spacing w:after="0" w:line="269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You are not finished</w:t>
            </w:r>
          </w:p>
        </w:tc>
        <w:tc>
          <w:tcPr>
            <w:tcW w:type="dxa" w:w="2448"/>
          </w:tcPr>
          <w:p>
            <w:pPr>
              <w:spacing w:after="0" w:line="269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Buy Kindle / get Starter Kit</w:t>
            </w:r>
          </w:p>
        </w:tc>
        <w:tc>
          <w:tcPr>
            <w:tcW w:type="dxa" w:w="2015"/>
          </w:tcPr>
          <w:p>
            <w:pPr>
              <w:spacing w:after="0" w:line="269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Needs Amazon URL</w:t>
            </w:r>
          </w:p>
        </w:tc>
      </w:tr>
      <w:tr>
        <w:tc>
          <w:tcPr>
            <w:tcW w:type="dxa" w:w="720"/>
          </w:tcPr>
          <w:p>
            <w:pPr>
              <w:spacing w:after="0" w:line="269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2</w:t>
            </w:r>
          </w:p>
        </w:tc>
        <w:tc>
          <w:tcPr>
            <w:tcW w:type="dxa" w:w="1512"/>
          </w:tcPr>
          <w:p>
            <w:pPr>
              <w:spacing w:after="0" w:line="269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+1 day</w:t>
            </w:r>
          </w:p>
        </w:tc>
        <w:tc>
          <w:tcPr>
            <w:tcW w:type="dxa" w:w="3240"/>
          </w:tcPr>
          <w:p>
            <w:pPr>
              <w:spacing w:after="0" w:line="269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What carries you through transition</w:t>
            </w:r>
          </w:p>
        </w:tc>
        <w:tc>
          <w:tcPr>
            <w:tcW w:type="dxa" w:w="2448"/>
          </w:tcPr>
          <w:p>
            <w:pPr>
              <w:spacing w:after="0" w:line="269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Foundation Inventory</w:t>
            </w:r>
          </w:p>
        </w:tc>
        <w:tc>
          <w:tcPr>
            <w:tcW w:type="dxa" w:w="2015"/>
          </w:tcPr>
          <w:p>
            <w:pPr>
              <w:spacing w:after="0" w:line="269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Ready</w:t>
            </w:r>
          </w:p>
        </w:tc>
      </w:tr>
      <w:tr>
        <w:tc>
          <w:tcPr>
            <w:tcW w:type="dxa" w:w="720"/>
          </w:tcPr>
          <w:p>
            <w:pPr>
              <w:spacing w:after="0" w:line="269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3</w:t>
            </w:r>
          </w:p>
        </w:tc>
        <w:tc>
          <w:tcPr>
            <w:tcW w:type="dxa" w:w="1512"/>
          </w:tcPr>
          <w:p>
            <w:pPr>
              <w:spacing w:after="0" w:line="269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+3 days</w:t>
            </w:r>
          </w:p>
        </w:tc>
        <w:tc>
          <w:tcPr>
            <w:tcW w:type="dxa" w:w="3240"/>
          </w:tcPr>
          <w:p>
            <w:pPr>
              <w:spacing w:after="0" w:line="269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Stabilize before you reinvent</w:t>
            </w:r>
          </w:p>
        </w:tc>
        <w:tc>
          <w:tcPr>
            <w:tcW w:type="dxa" w:w="2448"/>
          </w:tcPr>
          <w:p>
            <w:pPr>
              <w:spacing w:after="0" w:line="269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Use the scorecard</w:t>
            </w:r>
          </w:p>
        </w:tc>
        <w:tc>
          <w:tcPr>
            <w:tcW w:type="dxa" w:w="2015"/>
          </w:tcPr>
          <w:p>
            <w:pPr>
              <w:spacing w:after="0" w:line="269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Ready</w:t>
            </w:r>
          </w:p>
        </w:tc>
      </w:tr>
      <w:tr>
        <w:tc>
          <w:tcPr>
            <w:tcW w:type="dxa" w:w="720"/>
          </w:tcPr>
          <w:p>
            <w:pPr>
              <w:spacing w:after="0" w:line="269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4</w:t>
            </w:r>
          </w:p>
        </w:tc>
        <w:tc>
          <w:tcPr>
            <w:tcW w:type="dxa" w:w="1512"/>
          </w:tcPr>
          <w:p>
            <w:pPr>
              <w:spacing w:after="0" w:line="269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+5 days</w:t>
            </w:r>
          </w:p>
        </w:tc>
        <w:tc>
          <w:tcPr>
            <w:tcW w:type="dxa" w:w="3240"/>
          </w:tcPr>
          <w:p>
            <w:pPr>
              <w:spacing w:after="0" w:line="269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Ownership is the door back</w:t>
            </w:r>
          </w:p>
        </w:tc>
        <w:tc>
          <w:tcPr>
            <w:tcW w:type="dxa" w:w="2448"/>
          </w:tcPr>
          <w:p>
            <w:pPr>
              <w:spacing w:after="0" w:line="269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Use the Ownership Ladder</w:t>
            </w:r>
          </w:p>
        </w:tc>
        <w:tc>
          <w:tcPr>
            <w:tcW w:type="dxa" w:w="2015"/>
          </w:tcPr>
          <w:p>
            <w:pPr>
              <w:spacing w:after="0" w:line="269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Ready</w:t>
            </w:r>
          </w:p>
        </w:tc>
      </w:tr>
      <w:tr>
        <w:tc>
          <w:tcPr>
            <w:tcW w:type="dxa" w:w="720"/>
          </w:tcPr>
          <w:p>
            <w:pPr>
              <w:spacing w:after="0" w:line="269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5</w:t>
            </w:r>
          </w:p>
        </w:tc>
        <w:tc>
          <w:tcPr>
            <w:tcW w:type="dxa" w:w="1512"/>
          </w:tcPr>
          <w:p>
            <w:pPr>
              <w:spacing w:after="0" w:line="269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+7 days</w:t>
            </w:r>
          </w:p>
        </w:tc>
        <w:tc>
          <w:tcPr>
            <w:tcW w:type="dxa" w:w="3240"/>
          </w:tcPr>
          <w:p>
            <w:pPr>
              <w:spacing w:after="0" w:line="269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The three questions reinvention asks</w:t>
            </w:r>
          </w:p>
        </w:tc>
        <w:tc>
          <w:tcPr>
            <w:tcW w:type="dxa" w:w="2448"/>
          </w:tcPr>
          <w:p>
            <w:pPr>
              <w:spacing w:after="0" w:line="269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Use the Reinvention Intersection</w:t>
            </w:r>
          </w:p>
        </w:tc>
        <w:tc>
          <w:tcPr>
            <w:tcW w:type="dxa" w:w="2015"/>
          </w:tcPr>
          <w:p>
            <w:pPr>
              <w:spacing w:after="0" w:line="269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Ready</w:t>
            </w:r>
          </w:p>
        </w:tc>
      </w:tr>
      <w:tr>
        <w:tc>
          <w:tcPr>
            <w:tcW w:type="dxa" w:w="720"/>
          </w:tcPr>
          <w:p>
            <w:pPr>
              <w:spacing w:after="0" w:line="269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6</w:t>
            </w:r>
          </w:p>
        </w:tc>
        <w:tc>
          <w:tcPr>
            <w:tcW w:type="dxa" w:w="1512"/>
          </w:tcPr>
          <w:p>
            <w:pPr>
              <w:spacing w:after="0" w:line="269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+10 days</w:t>
            </w:r>
          </w:p>
        </w:tc>
        <w:tc>
          <w:tcPr>
            <w:tcW w:type="dxa" w:w="3240"/>
          </w:tcPr>
          <w:p>
            <w:pPr>
              <w:spacing w:after="0" w:line="269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AI is a strategic partner</w:t>
            </w:r>
          </w:p>
        </w:tc>
        <w:tc>
          <w:tcPr>
            <w:tcW w:type="dxa" w:w="2448"/>
          </w:tcPr>
          <w:p>
            <w:pPr>
              <w:spacing w:after="0" w:line="269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Use the AI ladder</w:t>
            </w:r>
          </w:p>
        </w:tc>
        <w:tc>
          <w:tcPr>
            <w:tcW w:type="dxa" w:w="2015"/>
          </w:tcPr>
          <w:p>
            <w:pPr>
              <w:spacing w:after="0" w:line="269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Ready</w:t>
            </w:r>
          </w:p>
        </w:tc>
      </w:tr>
      <w:tr>
        <w:tc>
          <w:tcPr>
            <w:tcW w:type="dxa" w:w="720"/>
          </w:tcPr>
          <w:p>
            <w:pPr>
              <w:spacing w:after="0" w:line="269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7</w:t>
            </w:r>
          </w:p>
        </w:tc>
        <w:tc>
          <w:tcPr>
            <w:tcW w:type="dxa" w:w="1512"/>
          </w:tcPr>
          <w:p>
            <w:pPr>
              <w:spacing w:after="0" w:line="269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+14 days</w:t>
            </w:r>
          </w:p>
        </w:tc>
        <w:tc>
          <w:tcPr>
            <w:tcW w:type="dxa" w:w="3240"/>
          </w:tcPr>
          <w:p>
            <w:pPr>
              <w:spacing w:after="0" w:line="269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The work after the book</w:t>
            </w:r>
          </w:p>
        </w:tc>
        <w:tc>
          <w:tcPr>
            <w:tcW w:type="dxa" w:w="2448"/>
          </w:tcPr>
          <w:p>
            <w:pPr>
              <w:spacing w:after="0" w:line="269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Book / consulting / speaking</w:t>
            </w:r>
          </w:p>
        </w:tc>
        <w:tc>
          <w:tcPr>
            <w:tcW w:type="dxa" w:w="2015"/>
          </w:tcPr>
          <w:p>
            <w:pPr>
              <w:spacing w:after="0" w:line="269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Needs live links</w:t>
            </w:r>
          </w:p>
        </w:tc>
      </w:tr>
    </w:tbl>
    <w:p>
      <w:pPr>
        <w:spacing w:after="40"/>
      </w:pPr>
    </w:p>
    <w:p>
      <w:pPr>
        <w:pStyle w:val="Heading1"/>
      </w:pPr>
      <w:r>
        <w:t>Organic Content Plan</w:t>
      </w:r>
    </w:p>
    <w:tbl>
      <w:tblGrid>
        <w:gridCol w:w="792"/>
        <w:gridCol w:w="5903"/>
        <w:gridCol w:w="3240"/>
      </w:tblGrid>
      <w:tblPr>
        <w:tblStyle w:val="TableGrid"/>
        <w:tblW w:type="dxa" w:w="9935"/>
        <w:jc w:val="left"/>
        <w:tblLayout w:type="fixed"/>
        <w:tblLook w:firstColumn="1" w:firstRow="1" w:lastColumn="0" w:lastRow="0" w:noHBand="0" w:noVBand="1" w:val="04A0"/>
      </w:tblPr>
      <w:tr>
        <w:trPr>
          <w:cantSplit/>
          <w:tblHeader w:val="true"/>
        </w:trPr>
        <w:tc>
          <w:tcPr>
            <w:tcW w:type="dxa" w:w="792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8EEF5"/>
          </w:tcPr>
          <w:p>
            <w:pPr>
              <w:spacing w:after="0" w:line="269" w:lineRule="auto"/>
              <w:jc w:val="center"/>
            </w:pPr>
            <w:r/>
            <w:r>
              <w:rPr>
                <w:rFonts w:ascii="Calibri" w:hAnsi="Calibri"/>
                <w:b/>
                <w:color w:val="102A43"/>
                <w:sz w:val="16"/>
              </w:rPr>
              <w:t>Day</w:t>
            </w:r>
          </w:p>
        </w:tc>
        <w:tc>
          <w:tcPr>
            <w:tcW w:type="dxa" w:w="5903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8EEF5"/>
          </w:tcPr>
          <w:p>
            <w:pPr>
              <w:spacing w:after="0" w:line="269" w:lineRule="auto"/>
              <w:jc w:val="center"/>
            </w:pPr>
            <w:r/>
            <w:r>
              <w:rPr>
                <w:rFonts w:ascii="Calibri" w:hAnsi="Calibri"/>
                <w:b/>
                <w:color w:val="102A43"/>
                <w:sz w:val="16"/>
              </w:rPr>
              <w:t>Theme</w:t>
            </w:r>
          </w:p>
        </w:tc>
        <w:tc>
          <w:tcPr>
            <w:tcW w:type="dxa" w:w="32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8EEF5"/>
          </w:tcPr>
          <w:p>
            <w:pPr>
              <w:spacing w:after="0" w:line="269" w:lineRule="auto"/>
              <w:jc w:val="center"/>
            </w:pPr>
            <w:r/>
            <w:r>
              <w:rPr>
                <w:rFonts w:ascii="Calibri" w:hAnsi="Calibri"/>
                <w:b/>
                <w:color w:val="102A43"/>
                <w:sz w:val="16"/>
              </w:rPr>
              <w:t>Primary CTA</w:t>
            </w:r>
          </w:p>
        </w:tc>
      </w:tr>
      <w:tr>
        <w:tc>
          <w:tcPr>
            <w:tcW w:type="dxa" w:w="792"/>
          </w:tcPr>
          <w:p>
            <w:pPr>
              <w:spacing w:after="0" w:line="269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1</w:t>
            </w:r>
          </w:p>
        </w:tc>
        <w:tc>
          <w:tcPr>
            <w:tcW w:type="dxa" w:w="5903"/>
          </w:tcPr>
          <w:p>
            <w:pPr>
              <w:spacing w:after="0" w:line="269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Kindle launch / You are not finished</w:t>
            </w:r>
          </w:p>
        </w:tc>
        <w:tc>
          <w:tcPr>
            <w:tcW w:type="dxa" w:w="3240"/>
          </w:tcPr>
          <w:p>
            <w:pPr>
              <w:spacing w:after="0" w:line="269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Amazon Kindle + Starter Kit</w:t>
            </w:r>
          </w:p>
        </w:tc>
      </w:tr>
      <w:tr>
        <w:tc>
          <w:tcPr>
            <w:tcW w:type="dxa" w:w="792"/>
          </w:tcPr>
          <w:p>
            <w:pPr>
              <w:spacing w:after="0" w:line="269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2</w:t>
            </w:r>
          </w:p>
        </w:tc>
        <w:tc>
          <w:tcPr>
            <w:tcW w:type="dxa" w:w="5903"/>
          </w:tcPr>
          <w:p>
            <w:pPr>
              <w:spacing w:after="0" w:line="269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Foundation Inventory</w:t>
            </w:r>
          </w:p>
        </w:tc>
        <w:tc>
          <w:tcPr>
            <w:tcW w:type="dxa" w:w="3240"/>
          </w:tcPr>
          <w:p>
            <w:pPr>
              <w:spacing w:after="0" w:line="269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Starter Kit</w:t>
            </w:r>
          </w:p>
        </w:tc>
      </w:tr>
      <w:tr>
        <w:tc>
          <w:tcPr>
            <w:tcW w:type="dxa" w:w="792"/>
          </w:tcPr>
          <w:p>
            <w:pPr>
              <w:spacing w:after="0" w:line="269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3</w:t>
            </w:r>
          </w:p>
        </w:tc>
        <w:tc>
          <w:tcPr>
            <w:tcW w:type="dxa" w:w="5903"/>
          </w:tcPr>
          <w:p>
            <w:pPr>
              <w:spacing w:after="0" w:line="269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Compliance is not commitment</w:t>
            </w:r>
          </w:p>
        </w:tc>
        <w:tc>
          <w:tcPr>
            <w:tcW w:type="dxa" w:w="3240"/>
          </w:tcPr>
          <w:p>
            <w:pPr>
              <w:spacing w:after="0" w:line="269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Tools</w:t>
            </w:r>
          </w:p>
        </w:tc>
      </w:tr>
      <w:tr>
        <w:tc>
          <w:tcPr>
            <w:tcW w:type="dxa" w:w="792"/>
          </w:tcPr>
          <w:p>
            <w:pPr>
              <w:spacing w:after="0" w:line="269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4</w:t>
            </w:r>
          </w:p>
        </w:tc>
        <w:tc>
          <w:tcPr>
            <w:tcW w:type="dxa" w:w="5903"/>
          </w:tcPr>
          <w:p>
            <w:pPr>
              <w:spacing w:after="0" w:line="269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AI as strategic partner</w:t>
            </w:r>
          </w:p>
        </w:tc>
        <w:tc>
          <w:tcPr>
            <w:tcW w:type="dxa" w:w="3240"/>
          </w:tcPr>
          <w:p>
            <w:pPr>
              <w:spacing w:after="0" w:line="269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AI ladder</w:t>
            </w:r>
          </w:p>
        </w:tc>
      </w:tr>
      <w:tr>
        <w:tc>
          <w:tcPr>
            <w:tcW w:type="dxa" w:w="792"/>
          </w:tcPr>
          <w:p>
            <w:pPr>
              <w:spacing w:after="0" w:line="269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5</w:t>
            </w:r>
          </w:p>
        </w:tc>
        <w:tc>
          <w:tcPr>
            <w:tcW w:type="dxa" w:w="5903"/>
          </w:tcPr>
          <w:p>
            <w:pPr>
              <w:spacing w:after="0" w:line="269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Stabilize first</w:t>
            </w:r>
          </w:p>
        </w:tc>
        <w:tc>
          <w:tcPr>
            <w:tcW w:type="dxa" w:w="3240"/>
          </w:tcPr>
          <w:p>
            <w:pPr>
              <w:spacing w:after="0" w:line="269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Scorecard</w:t>
            </w:r>
          </w:p>
        </w:tc>
      </w:tr>
      <w:tr>
        <w:tc>
          <w:tcPr>
            <w:tcW w:type="dxa" w:w="792"/>
          </w:tcPr>
          <w:p>
            <w:pPr>
              <w:spacing w:after="0" w:line="269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6</w:t>
            </w:r>
          </w:p>
        </w:tc>
        <w:tc>
          <w:tcPr>
            <w:tcW w:type="dxa" w:w="5903"/>
          </w:tcPr>
          <w:p>
            <w:pPr>
              <w:spacing w:after="0" w:line="269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Ownership ladder</w:t>
            </w:r>
          </w:p>
        </w:tc>
        <w:tc>
          <w:tcPr>
            <w:tcW w:type="dxa" w:w="3240"/>
          </w:tcPr>
          <w:p>
            <w:pPr>
              <w:spacing w:after="0" w:line="269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Tools</w:t>
            </w:r>
          </w:p>
        </w:tc>
      </w:tr>
      <w:tr>
        <w:tc>
          <w:tcPr>
            <w:tcW w:type="dxa" w:w="792"/>
          </w:tcPr>
          <w:p>
            <w:pPr>
              <w:spacing w:after="0" w:line="269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7</w:t>
            </w:r>
          </w:p>
        </w:tc>
        <w:tc>
          <w:tcPr>
            <w:tcW w:type="dxa" w:w="5903"/>
          </w:tcPr>
          <w:p>
            <w:pPr>
              <w:spacing w:after="0" w:line="269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Title is not identity</w:t>
            </w:r>
          </w:p>
        </w:tc>
        <w:tc>
          <w:tcPr>
            <w:tcW w:type="dxa" w:w="3240"/>
          </w:tcPr>
          <w:p>
            <w:pPr>
              <w:spacing w:after="0" w:line="269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Starter Kit</w:t>
            </w:r>
          </w:p>
        </w:tc>
      </w:tr>
      <w:tr>
        <w:tc>
          <w:tcPr>
            <w:tcW w:type="dxa" w:w="792"/>
          </w:tcPr>
          <w:p>
            <w:pPr>
              <w:spacing w:after="0" w:line="269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8</w:t>
            </w:r>
          </w:p>
        </w:tc>
        <w:tc>
          <w:tcPr>
            <w:tcW w:type="dxa" w:w="5903"/>
          </w:tcPr>
          <w:p>
            <w:pPr>
              <w:spacing w:after="0" w:line="269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Three rings / reinvention intersection</w:t>
            </w:r>
          </w:p>
        </w:tc>
        <w:tc>
          <w:tcPr>
            <w:tcW w:type="dxa" w:w="3240"/>
          </w:tcPr>
          <w:p>
            <w:pPr>
              <w:spacing w:after="0" w:line="269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Tools</w:t>
            </w:r>
          </w:p>
        </w:tc>
      </w:tr>
      <w:tr>
        <w:tc>
          <w:tcPr>
            <w:tcW w:type="dxa" w:w="792"/>
          </w:tcPr>
          <w:p>
            <w:pPr>
              <w:spacing w:after="0" w:line="269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9</w:t>
            </w:r>
          </w:p>
        </w:tc>
        <w:tc>
          <w:tcPr>
            <w:tcW w:type="dxa" w:w="5903"/>
          </w:tcPr>
          <w:p>
            <w:pPr>
              <w:spacing w:after="0" w:line="269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Grief is not an event</w:t>
            </w:r>
          </w:p>
        </w:tc>
        <w:tc>
          <w:tcPr>
            <w:tcW w:type="dxa" w:w="3240"/>
          </w:tcPr>
          <w:p>
            <w:pPr>
              <w:spacing w:after="0" w:line="269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Newsletter</w:t>
            </w:r>
          </w:p>
        </w:tc>
      </w:tr>
      <w:tr>
        <w:tc>
          <w:tcPr>
            <w:tcW w:type="dxa" w:w="792"/>
          </w:tcPr>
          <w:p>
            <w:pPr>
              <w:spacing w:after="0" w:line="269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10</w:t>
            </w:r>
          </w:p>
        </w:tc>
        <w:tc>
          <w:tcPr>
            <w:tcW w:type="dxa" w:w="5903"/>
          </w:tcPr>
          <w:p>
            <w:pPr>
              <w:spacing w:after="0" w:line="269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Speaking/workshop positioning</w:t>
            </w:r>
          </w:p>
        </w:tc>
        <w:tc>
          <w:tcPr>
            <w:tcW w:type="dxa" w:w="3240"/>
          </w:tcPr>
          <w:p>
            <w:pPr>
              <w:spacing w:after="0" w:line="269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Speaking inquiry</w:t>
            </w:r>
          </w:p>
        </w:tc>
      </w:tr>
      <w:tr>
        <w:tc>
          <w:tcPr>
            <w:tcW w:type="dxa" w:w="792"/>
          </w:tcPr>
          <w:p>
            <w:pPr>
              <w:spacing w:after="0" w:line="269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11</w:t>
            </w:r>
          </w:p>
        </w:tc>
        <w:tc>
          <w:tcPr>
            <w:tcW w:type="dxa" w:w="5903"/>
          </w:tcPr>
          <w:p>
            <w:pPr>
              <w:spacing w:after="0" w:line="269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Tool walkthrough video</w:t>
            </w:r>
          </w:p>
        </w:tc>
        <w:tc>
          <w:tcPr>
            <w:tcW w:type="dxa" w:w="3240"/>
          </w:tcPr>
          <w:p>
            <w:pPr>
              <w:spacing w:after="0" w:line="269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Tools</w:t>
            </w:r>
          </w:p>
        </w:tc>
      </w:tr>
      <w:tr>
        <w:tc>
          <w:tcPr>
            <w:tcW w:type="dxa" w:w="792"/>
          </w:tcPr>
          <w:p>
            <w:pPr>
              <w:spacing w:after="0" w:line="269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12</w:t>
            </w:r>
          </w:p>
        </w:tc>
        <w:tc>
          <w:tcPr>
            <w:tcW w:type="dxa" w:w="5903"/>
          </w:tcPr>
          <w:p>
            <w:pPr>
              <w:spacing w:after="0" w:line="269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Sample chapter</w:t>
            </w:r>
          </w:p>
        </w:tc>
        <w:tc>
          <w:tcPr>
            <w:tcW w:type="dxa" w:w="3240"/>
          </w:tcPr>
          <w:p>
            <w:pPr>
              <w:spacing w:after="0" w:line="269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Starter Kit</w:t>
            </w:r>
          </w:p>
        </w:tc>
      </w:tr>
      <w:tr>
        <w:tc>
          <w:tcPr>
            <w:tcW w:type="dxa" w:w="792"/>
          </w:tcPr>
          <w:p>
            <w:pPr>
              <w:spacing w:after="0" w:line="269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13</w:t>
            </w:r>
          </w:p>
        </w:tc>
        <w:tc>
          <w:tcPr>
            <w:tcW w:type="dxa" w:w="5903"/>
          </w:tcPr>
          <w:p>
            <w:pPr>
              <w:spacing w:after="0" w:line="269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Reader/reviewer feedback ask</w:t>
            </w:r>
          </w:p>
        </w:tc>
        <w:tc>
          <w:tcPr>
            <w:tcW w:type="dxa" w:w="3240"/>
          </w:tcPr>
          <w:p>
            <w:pPr>
              <w:spacing w:after="0" w:line="269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Book link</w:t>
            </w:r>
          </w:p>
        </w:tc>
      </w:tr>
      <w:tr>
        <w:tc>
          <w:tcPr>
            <w:tcW w:type="dxa" w:w="792"/>
          </w:tcPr>
          <w:p>
            <w:pPr>
              <w:spacing w:after="0" w:line="269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14</w:t>
            </w:r>
          </w:p>
        </w:tc>
        <w:tc>
          <w:tcPr>
            <w:tcW w:type="dxa" w:w="5903"/>
          </w:tcPr>
          <w:p>
            <w:pPr>
              <w:spacing w:after="0" w:line="269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Launch recap / next chapter</w:t>
            </w:r>
          </w:p>
        </w:tc>
        <w:tc>
          <w:tcPr>
            <w:tcW w:type="dxa" w:w="3240"/>
          </w:tcPr>
          <w:p>
            <w:pPr>
              <w:spacing w:after="0" w:line="269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Website</w:t>
            </w:r>
          </w:p>
        </w:tc>
      </w:tr>
    </w:tbl>
    <w:p>
      <w:pPr>
        <w:spacing w:after="40"/>
      </w:pPr>
    </w:p>
    <w:p>
      <w:pPr>
        <w:pStyle w:val="Heading1"/>
      </w:pPr>
      <w:r>
        <w:t>$500 Spend Guardrails</w:t>
      </w:r>
    </w:p>
    <w:tbl>
      <w:tblGrid>
        <w:gridCol w:w="2015"/>
        <w:gridCol w:w="936"/>
        <w:gridCol w:w="3384"/>
        <w:gridCol w:w="3600"/>
      </w:tblGrid>
      <w:tblPr>
        <w:tblStyle w:val="TableGrid"/>
        <w:tblW w:type="dxa" w:w="9935"/>
        <w:jc w:val="left"/>
        <w:tblLayout w:type="fixed"/>
        <w:tblLook w:firstColumn="1" w:firstRow="1" w:lastColumn="0" w:lastRow="0" w:noHBand="0" w:noVBand="1" w:val="04A0"/>
      </w:tblPr>
      <w:tr>
        <w:trPr>
          <w:cantSplit/>
          <w:tblHeader w:val="true"/>
        </w:trPr>
        <w:tc>
          <w:tcPr>
            <w:tcW w:type="dxa" w:w="2015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8EEF5"/>
          </w:tcPr>
          <w:p>
            <w:pPr>
              <w:spacing w:after="0" w:line="269" w:lineRule="auto"/>
              <w:jc w:val="center"/>
            </w:pPr>
            <w:r/>
            <w:r>
              <w:rPr>
                <w:rFonts w:ascii="Calibri" w:hAnsi="Calibri"/>
                <w:b/>
                <w:color w:val="102A43"/>
                <w:sz w:val="16"/>
              </w:rPr>
              <w:t>Channel</w:t>
            </w:r>
          </w:p>
        </w:tc>
        <w:tc>
          <w:tcPr>
            <w:tcW w:type="dxa" w:w="936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8EEF5"/>
          </w:tcPr>
          <w:p>
            <w:pPr>
              <w:spacing w:after="0" w:line="269" w:lineRule="auto"/>
              <w:jc w:val="center"/>
            </w:pPr>
            <w:r/>
            <w:r>
              <w:rPr>
                <w:rFonts w:ascii="Calibri" w:hAnsi="Calibri"/>
                <w:b/>
                <w:color w:val="102A43"/>
                <w:sz w:val="16"/>
              </w:rPr>
              <w:t>Cap</w:t>
            </w:r>
          </w:p>
        </w:tc>
        <w:tc>
          <w:tcPr>
            <w:tcW w:type="dxa" w:w="3384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8EEF5"/>
          </w:tcPr>
          <w:p>
            <w:pPr>
              <w:spacing w:after="0" w:line="269" w:lineRule="auto"/>
              <w:jc w:val="center"/>
            </w:pPr>
            <w:r/>
            <w:r>
              <w:rPr>
                <w:rFonts w:ascii="Calibri" w:hAnsi="Calibri"/>
                <w:b/>
                <w:color w:val="102A43"/>
                <w:sz w:val="16"/>
              </w:rPr>
              <w:t>Start Condition</w:t>
            </w:r>
          </w:p>
        </w:tc>
        <w:tc>
          <w:tcPr>
            <w:tcW w:type="dxa" w:w="36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8EEF5"/>
          </w:tcPr>
          <w:p>
            <w:pPr>
              <w:spacing w:after="0" w:line="269" w:lineRule="auto"/>
              <w:jc w:val="center"/>
            </w:pPr>
            <w:r/>
            <w:r>
              <w:rPr>
                <w:rFonts w:ascii="Calibri" w:hAnsi="Calibri"/>
                <w:b/>
                <w:color w:val="102A43"/>
                <w:sz w:val="16"/>
              </w:rPr>
              <w:t>Stop Condition</w:t>
            </w:r>
          </w:p>
        </w:tc>
      </w:tr>
      <w:tr>
        <w:tc>
          <w:tcPr>
            <w:tcW w:type="dxa" w:w="2015"/>
          </w:tcPr>
          <w:p>
            <w:pPr>
              <w:spacing w:after="0" w:line="269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Meta lead magnet test</w:t>
            </w:r>
          </w:p>
        </w:tc>
        <w:tc>
          <w:tcPr>
            <w:tcW w:type="dxa" w:w="936"/>
          </w:tcPr>
          <w:p>
            <w:pPr>
              <w:spacing w:after="0" w:line="269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$150</w:t>
            </w:r>
          </w:p>
        </w:tc>
        <w:tc>
          <w:tcPr>
            <w:tcW w:type="dxa" w:w="3384"/>
          </w:tcPr>
          <w:p>
            <w:pPr>
              <w:spacing w:after="0" w:line="269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Starter Kit and Kit delivery verified</w:t>
            </w:r>
          </w:p>
        </w:tc>
        <w:tc>
          <w:tcPr>
            <w:tcW w:type="dxa" w:w="3600"/>
          </w:tcPr>
          <w:p>
            <w:pPr>
              <w:spacing w:after="0" w:line="269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Pause if cost per subscriber is above $6 after $60 spend</w:t>
            </w:r>
          </w:p>
        </w:tc>
      </w:tr>
      <w:tr>
        <w:tc>
          <w:tcPr>
            <w:tcW w:type="dxa" w:w="2015"/>
          </w:tcPr>
          <w:p>
            <w:pPr>
              <w:spacing w:after="0" w:line="269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LinkedIn boost</w:t>
            </w:r>
          </w:p>
        </w:tc>
        <w:tc>
          <w:tcPr>
            <w:tcW w:type="dxa" w:w="936"/>
          </w:tcPr>
          <w:p>
            <w:pPr>
              <w:spacing w:after="0" w:line="269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$75</w:t>
            </w:r>
          </w:p>
        </w:tc>
        <w:tc>
          <w:tcPr>
            <w:tcW w:type="dxa" w:w="3384"/>
          </w:tcPr>
          <w:p>
            <w:pPr>
              <w:spacing w:after="0" w:line="269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An organic post shows above-average engagement</w:t>
            </w:r>
          </w:p>
        </w:tc>
        <w:tc>
          <w:tcPr>
            <w:tcW w:type="dxa" w:w="3600"/>
          </w:tcPr>
          <w:p>
            <w:pPr>
              <w:spacing w:after="0" w:line="269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Pause if click-through is below 0.8% after $40 spend</w:t>
            </w:r>
          </w:p>
        </w:tc>
      </w:tr>
      <w:tr>
        <w:tc>
          <w:tcPr>
            <w:tcW w:type="dxa" w:w="2015"/>
          </w:tcPr>
          <w:p>
            <w:pPr>
              <w:spacing w:after="0" w:line="269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Amazon Ads</w:t>
            </w:r>
          </w:p>
        </w:tc>
        <w:tc>
          <w:tcPr>
            <w:tcW w:type="dxa" w:w="936"/>
          </w:tcPr>
          <w:p>
            <w:pPr>
              <w:spacing w:after="0" w:line="269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$100</w:t>
            </w:r>
          </w:p>
        </w:tc>
        <w:tc>
          <w:tcPr>
            <w:tcW w:type="dxa" w:w="3384"/>
          </w:tcPr>
          <w:p>
            <w:pPr>
              <w:spacing w:after="0" w:line="269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Amazon listing is live and detail page looks clean</w:t>
            </w:r>
          </w:p>
        </w:tc>
        <w:tc>
          <w:tcPr>
            <w:tcW w:type="dxa" w:w="3600"/>
          </w:tcPr>
          <w:p>
            <w:pPr>
              <w:spacing w:after="0" w:line="269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Pause if no sales after $50 spend or CPC is materially above category economics</w:t>
            </w:r>
          </w:p>
        </w:tc>
      </w:tr>
      <w:tr>
        <w:tc>
          <w:tcPr>
            <w:tcW w:type="dxa" w:w="2015"/>
          </w:tcPr>
          <w:p>
            <w:pPr>
              <w:spacing w:after="0" w:line="269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Creative/tool screenshots</w:t>
            </w:r>
          </w:p>
        </w:tc>
        <w:tc>
          <w:tcPr>
            <w:tcW w:type="dxa" w:w="936"/>
          </w:tcPr>
          <w:p>
            <w:pPr>
              <w:spacing w:after="0" w:line="269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$75</w:t>
            </w:r>
          </w:p>
        </w:tc>
        <w:tc>
          <w:tcPr>
            <w:tcW w:type="dxa" w:w="3384"/>
          </w:tcPr>
          <w:p>
            <w:pPr>
              <w:spacing w:after="0" w:line="269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Use only if needed for clean ad or social visuals</w:t>
            </w:r>
          </w:p>
        </w:tc>
        <w:tc>
          <w:tcPr>
            <w:tcW w:type="dxa" w:w="3600"/>
          </w:tcPr>
          <w:p>
            <w:pPr>
              <w:spacing w:after="0" w:line="269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Spend only on reusable templates/assets</w:t>
            </w:r>
          </w:p>
        </w:tc>
      </w:tr>
      <w:tr>
        <w:tc>
          <w:tcPr>
            <w:tcW w:type="dxa" w:w="2015"/>
          </w:tcPr>
          <w:p>
            <w:pPr>
              <w:spacing w:after="0" w:line="269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Reserve</w:t>
            </w:r>
          </w:p>
        </w:tc>
        <w:tc>
          <w:tcPr>
            <w:tcW w:type="dxa" w:w="936"/>
          </w:tcPr>
          <w:p>
            <w:pPr>
              <w:spacing w:after="0" w:line="269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$100</w:t>
            </w:r>
          </w:p>
        </w:tc>
        <w:tc>
          <w:tcPr>
            <w:tcW w:type="dxa" w:w="3384"/>
          </w:tcPr>
          <w:p>
            <w:pPr>
              <w:spacing w:after="0" w:line="269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Hold for the channel that shows traction</w:t>
            </w:r>
          </w:p>
        </w:tc>
        <w:tc>
          <w:tcPr>
            <w:tcW w:type="dxa" w:w="3600"/>
          </w:tcPr>
          <w:p>
            <w:pPr>
              <w:spacing w:after="0" w:line="269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5"/>
              </w:rPr>
              <w:t>Do not spend until one channel has evidence</w:t>
            </w:r>
          </w:p>
        </w:tc>
      </w:tr>
    </w:tbl>
    <w:p>
      <w:pPr>
        <w:spacing w:after="40"/>
      </w:pPr>
    </w:p>
    <w:tbl>
      <w:tblGrid>
        <w:gridCol w:w="9936"/>
      </w:tblGrid>
      <w:tblPr>
        <w:tblStyle w:val="TableGrid"/>
        <w:tblW w:type="dxa" w:w="9936"/>
        <w:jc w:val="left"/>
        <w:tblLayout w:type="fixed"/>
        <w:tblLook w:firstColumn="1" w:firstRow="1" w:lastColumn="0" w:lastRow="0" w:noHBand="0" w:noVBand="1" w:val="04A0"/>
      </w:tblPr>
      <w:tr>
        <w:trPr>
          <w:cantSplit/>
        </w:trPr>
        <w:tc>
          <w:tcPr>
            <w:tcW w:type="dxa" w:w="9936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AF7F4"/>
          </w:tcPr>
          <w:p>
            <w:pPr>
              <w:spacing w:after="40"/>
            </w:pPr>
            <w:r>
              <w:rPr>
                <w:rFonts w:ascii="Calibri" w:hAnsi="Calibri"/>
                <w:b/>
                <w:color w:val="2E74B5"/>
                <w:sz w:val="16"/>
              </w:rPr>
              <w:t>APPROVAL GATES</w:t>
            </w:r>
          </w:p>
          <w:p>
            <w:pPr>
              <w:spacing w:after="0"/>
            </w:pPr>
            <w:r>
              <w:rPr>
                <w:rFonts w:ascii="Calibri" w:hAnsi="Calibri"/>
                <w:color w:val="102A43"/>
                <w:sz w:val="19"/>
              </w:rPr>
              <w:t>John approves the first launch email before send, any paid spend before activation, the final paperback proof before paperback public launch, and TestFlight/App Review submission after device UAT.</w:t>
            </w:r>
          </w:p>
        </w:tc>
      </w:tr>
    </w:tbl>
    <w:p>
      <w:pPr>
        <w:pStyle w:val="Heading1"/>
      </w:pPr>
      <w:r>
        <w:t>Immediate Next Actions</w:t>
      </w:r>
    </w:p>
    <w:p>
      <w:pPr>
        <w:pStyle w:val="ListBullet"/>
        <w:spacing w:after="60"/>
        <w:ind w:left="504" w:hanging="230"/>
      </w:pPr>
      <w:r>
        <w:rPr>
          <w:rFonts w:ascii="Calibri" w:hAnsi="Calibri"/>
          <w:color w:val="102A43"/>
          <w:sz w:val="20"/>
        </w:rPr>
        <w:t>Wait for KDP Kindle review result and live Amazon URL.</w:t>
      </w:r>
    </w:p>
    <w:p>
      <w:pPr>
        <w:pStyle w:val="ListBullet"/>
        <w:spacing w:after="60"/>
        <w:ind w:left="504" w:hanging="230"/>
      </w:pPr>
      <w:r>
        <w:rPr>
          <w:rFonts w:ascii="Calibri" w:hAnsi="Calibri"/>
          <w:color w:val="102A43"/>
          <w:sz w:val="20"/>
        </w:rPr>
        <w:t>Wait for GetCovers final paperback wrap.</w:t>
      </w:r>
    </w:p>
    <w:p>
      <w:pPr>
        <w:pStyle w:val="ListBullet"/>
        <w:spacing w:after="60"/>
        <w:ind w:left="504" w:hanging="230"/>
      </w:pPr>
      <w:r>
        <w:rPr>
          <w:rFonts w:ascii="Calibri" w:hAnsi="Calibri"/>
          <w:color w:val="102A43"/>
          <w:sz w:val="20"/>
        </w:rPr>
        <w:t>Stage first launch email/social post with live-link placeholders.</w:t>
      </w:r>
    </w:p>
    <w:p>
      <w:pPr>
        <w:pStyle w:val="ListBullet"/>
        <w:spacing w:after="60"/>
        <w:ind w:left="504" w:hanging="230"/>
      </w:pPr>
      <w:r>
        <w:rPr>
          <w:rFonts w:ascii="Calibri" w:hAnsi="Calibri"/>
          <w:color w:val="102A43"/>
          <w:sz w:val="20"/>
        </w:rPr>
        <w:t>Update website CTA and UAT script when the Amazon URL exists.</w:t>
      </w:r>
    </w:p>
    <w:p>
      <w:pPr>
        <w:pStyle w:val="ListBullet"/>
        <w:spacing w:after="60"/>
        <w:ind w:left="504" w:hanging="230"/>
      </w:pPr>
      <w:r>
        <w:rPr>
          <w:rFonts w:ascii="Calibri" w:hAnsi="Calibri"/>
          <w:color w:val="102A43"/>
          <w:sz w:val="20"/>
        </w:rPr>
        <w:t>Keep tracking files current so launch decisions are visible without hunting through project notes.</w:t>
      </w:r>
    </w:p>
    <w:sectPr w:rsidR="00FC693F" w:rsidRPr="0006063C" w:rsidSect="00034616">
      <w:pgSz w:w="12240" w:h="15840"/>
      <w:pgMar w:top="1008" w:right="1008" w:bottom="93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83" w:lineRule="auto"/>
    </w:pPr>
    <w:rPr>
      <w:rFonts w:ascii="Calibri" w:hAnsi="Calibri"/>
      <w:color w:val="102A43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20" w:after="160"/>
      <w:outlineLvl w:val="0"/>
    </w:pPr>
    <w:rPr>
      <w:rFonts w:asciiTheme="majorHAnsi" w:eastAsiaTheme="majorEastAsia" w:hAnsiTheme="majorHAnsi" w:cstheme="majorBidi" w:ascii="Calibri" w:hAnsi="Calibri"/>
      <w:b/>
      <w:bCs/>
      <w:color w:val="2E74B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 w:ascii="Calibri" w:hAnsi="Calibri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Calibri" w:hAnsi="Calibri"/>
      <w:b/>
      <w:bCs/>
      <w:color w:val="1F4D78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